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附件三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kern w:val="0"/>
          <w:sz w:val="28"/>
          <w:szCs w:val="28"/>
        </w:rPr>
        <w:t>投稿论文写作规范</w:t>
      </w:r>
      <w:bookmarkEnd w:id="0"/>
    </w:p>
    <w:p>
      <w:pPr>
        <w:widowControl/>
        <w:spacing w:line="500" w:lineRule="exact"/>
        <w:ind w:firstLine="551" w:firstLineChars="196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一、基本要求</w:t>
      </w:r>
    </w:p>
    <w:p>
      <w:pPr>
        <w:widowControl/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《</w:t>
      </w:r>
      <w:r>
        <w:rPr>
          <w:rFonts w:hint="eastAsia" w:ascii="宋体" w:hAnsi="宋体"/>
          <w:b/>
          <w:sz w:val="28"/>
          <w:szCs w:val="28"/>
        </w:rPr>
        <w:t>粤港澳大湾区税收协作机制</w:t>
      </w:r>
      <w:r>
        <w:rPr>
          <w:rFonts w:hint="eastAsia" w:hAnsi="宋体" w:cs="宋体"/>
          <w:b/>
          <w:bCs/>
          <w:sz w:val="28"/>
          <w:szCs w:val="28"/>
        </w:rPr>
        <w:t>研讨会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论文集</w:t>
      </w:r>
      <w:r>
        <w:rPr>
          <w:rFonts w:hint="eastAsia" w:ascii="宋体" w:hAnsi="宋体" w:cs="宋体"/>
          <w:kern w:val="0"/>
          <w:sz w:val="28"/>
          <w:szCs w:val="28"/>
        </w:rPr>
        <w:t>》将结集出版，为保证质量，特提出以下要求，凡不满足要求的论文一概不予收录：</w:t>
      </w:r>
    </w:p>
    <w:p>
      <w:pPr>
        <w:widowControl/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第一，</w:t>
      </w:r>
      <w:r>
        <w:rPr>
          <w:rFonts w:hint="eastAsia" w:ascii="宋体" w:hAnsi="宋体" w:cs="宋体"/>
          <w:bCs/>
          <w:kern w:val="0"/>
          <w:sz w:val="28"/>
          <w:szCs w:val="28"/>
        </w:rPr>
        <w:t>截稿时间</w:t>
      </w:r>
      <w:r>
        <w:rPr>
          <w:rFonts w:hint="eastAsia" w:ascii="宋体" w:hAnsi="宋体"/>
          <w:bCs/>
          <w:kern w:val="0"/>
          <w:sz w:val="28"/>
          <w:szCs w:val="28"/>
        </w:rPr>
        <w:t>20</w:t>
      </w:r>
      <w:r>
        <w:rPr>
          <w:rFonts w:ascii="宋体" w:hAnsi="宋体"/>
          <w:bCs/>
          <w:kern w:val="0"/>
          <w:sz w:val="28"/>
          <w:szCs w:val="28"/>
        </w:rPr>
        <w:t>21</w:t>
      </w:r>
      <w:r>
        <w:rPr>
          <w:rFonts w:hint="eastAsia" w:ascii="宋体" w:hAnsi="宋体" w:cs="宋体"/>
          <w:bCs/>
          <w:kern w:val="0"/>
          <w:sz w:val="28"/>
          <w:szCs w:val="28"/>
        </w:rPr>
        <w:t>年</w:t>
      </w:r>
      <w:r>
        <w:rPr>
          <w:rFonts w:ascii="宋体" w:hAnsi="宋体" w:cs="宋体"/>
          <w:bCs/>
          <w:kern w:val="0"/>
          <w:sz w:val="28"/>
          <w:szCs w:val="28"/>
        </w:rPr>
        <w:t>11</w:t>
      </w:r>
      <w:r>
        <w:rPr>
          <w:rFonts w:hint="eastAsia" w:ascii="宋体" w:hAnsi="宋体" w:cs="宋体"/>
          <w:bCs/>
          <w:kern w:val="0"/>
          <w:sz w:val="28"/>
          <w:szCs w:val="28"/>
        </w:rPr>
        <w:t>月2</w:t>
      </w:r>
      <w:r>
        <w:rPr>
          <w:rFonts w:ascii="宋体" w:hAnsi="宋体" w:cs="宋体"/>
          <w:bCs/>
          <w:kern w:val="0"/>
          <w:sz w:val="28"/>
          <w:szCs w:val="28"/>
        </w:rPr>
        <w:t>8</w:t>
      </w:r>
      <w:r>
        <w:rPr>
          <w:rFonts w:hint="eastAsia" w:ascii="宋体" w:hAnsi="宋体" w:cs="宋体"/>
          <w:bCs/>
          <w:kern w:val="0"/>
          <w:sz w:val="28"/>
          <w:szCs w:val="28"/>
        </w:rPr>
        <w:t>日</w:t>
      </w:r>
      <w:r>
        <w:rPr>
          <w:rFonts w:hint="eastAsia" w:ascii="宋体" w:hAnsi="宋体" w:cs="宋体"/>
          <w:kern w:val="0"/>
          <w:sz w:val="28"/>
          <w:szCs w:val="28"/>
        </w:rPr>
        <w:t>，以电子邮件的发送时间为准，为确保及时收取稿件，请将稿件发送至组委会邮箱：</w:t>
      </w:r>
      <w:r>
        <w:fldChar w:fldCharType="begin"/>
      </w:r>
      <w:r>
        <w:instrText xml:space="preserve"> HYPERLINK "mailto:nftaxlaw@163.com" </w:instrText>
      </w:r>
      <w:r>
        <w:fldChar w:fldCharType="separate"/>
      </w:r>
      <w:r>
        <w:rPr>
          <w:rFonts w:hint="eastAsia" w:ascii="宋体" w:hAnsi="宋体"/>
          <w:bCs/>
          <w:sz w:val="28"/>
          <w:szCs w:val="28"/>
        </w:rPr>
        <w:t>nftaxlaw@163.com</w:t>
      </w:r>
      <w:r>
        <w:rPr>
          <w:rFonts w:hint="eastAsia" w:ascii="宋体" w:hAnsi="宋体"/>
          <w:bCs/>
          <w:sz w:val="28"/>
          <w:szCs w:val="28"/>
        </w:rPr>
        <w:fldChar w:fldCharType="end"/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widowControl/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第二，字数不超过</w:t>
      </w:r>
      <w:r>
        <w:rPr>
          <w:rFonts w:hint="eastAsia" w:ascii="宋体" w:hAnsi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万字（包括摘要、注释等一切字数），特别优秀的文章可以放宽至</w:t>
      </w:r>
      <w:r>
        <w:rPr>
          <w:rFonts w:hint="eastAsia" w:ascii="宋体" w:hAnsi="宋体"/>
          <w:kern w:val="0"/>
          <w:sz w:val="28"/>
          <w:szCs w:val="28"/>
        </w:rPr>
        <w:t>1.2</w:t>
      </w:r>
      <w:r>
        <w:rPr>
          <w:rFonts w:hint="eastAsia" w:ascii="宋体" w:hAnsi="宋体" w:cs="宋体"/>
          <w:kern w:val="0"/>
          <w:sz w:val="28"/>
          <w:szCs w:val="28"/>
        </w:rPr>
        <w:t>万字。</w:t>
      </w:r>
    </w:p>
    <w:p>
      <w:pPr>
        <w:widowControl/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第三，收入本论文集的论文不支付稿费，也无样书赠送。</w:t>
      </w:r>
    </w:p>
    <w:p>
      <w:pPr>
        <w:widowControl/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第四，已经公开发表的论文仍可以收入本论文集，但应当加注释说明。</w:t>
      </w:r>
    </w:p>
    <w:p>
      <w:pPr>
        <w:widowControl/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第五，文章末尾附作者的手机和电子邮箱，以便及时与作者取得联系。</w:t>
      </w:r>
    </w:p>
    <w:p>
      <w:pPr>
        <w:widowControl/>
        <w:spacing w:line="500" w:lineRule="exact"/>
        <w:ind w:firstLine="551" w:firstLineChars="196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二、格式要求</w:t>
      </w:r>
    </w:p>
    <w:p>
      <w:pPr>
        <w:widowControl/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．标题名称。请用宋体</w:t>
      </w:r>
      <w:r>
        <w:rPr>
          <w:rFonts w:hint="eastAsia" w:ascii="宋体" w:hAnsi="宋体"/>
          <w:kern w:val="0"/>
          <w:sz w:val="28"/>
          <w:szCs w:val="28"/>
        </w:rPr>
        <w:t>4</w:t>
      </w:r>
      <w:r>
        <w:rPr>
          <w:rFonts w:hint="eastAsia" w:ascii="宋体" w:hAnsi="宋体" w:cs="宋体"/>
          <w:kern w:val="0"/>
          <w:sz w:val="28"/>
          <w:szCs w:val="28"/>
        </w:rPr>
        <w:t>号字加粗格式，并居中。</w:t>
      </w:r>
    </w:p>
    <w:p>
      <w:pPr>
        <w:widowControl/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．作者名称。请用楷体</w:t>
      </w:r>
      <w:r>
        <w:rPr>
          <w:rFonts w:hint="eastAsia" w:ascii="宋体" w:hAnsi="宋体"/>
          <w:kern w:val="0"/>
          <w:sz w:val="28"/>
          <w:szCs w:val="28"/>
        </w:rPr>
        <w:t>5</w:t>
      </w:r>
      <w:r>
        <w:rPr>
          <w:rFonts w:hint="eastAsia" w:ascii="宋体" w:hAnsi="宋体" w:cs="宋体"/>
          <w:kern w:val="0"/>
          <w:sz w:val="28"/>
          <w:szCs w:val="28"/>
        </w:rPr>
        <w:t>号字格式，居中，并用上标星号（</w:t>
      </w:r>
      <w:r>
        <w:rPr>
          <w:rFonts w:hint="eastAsia" w:ascii="宋体" w:hAnsi="宋体"/>
          <w:kern w:val="0"/>
          <w:sz w:val="28"/>
          <w:szCs w:val="28"/>
        </w:rPr>
        <w:t>*</w:t>
      </w:r>
      <w:r>
        <w:rPr>
          <w:rFonts w:hint="eastAsia" w:ascii="宋体" w:hAnsi="宋体" w:cs="宋体"/>
          <w:kern w:val="0"/>
          <w:sz w:val="28"/>
          <w:szCs w:val="28"/>
        </w:rPr>
        <w:t>）作为介绍作者注释的标志。</w:t>
      </w:r>
    </w:p>
    <w:p>
      <w:pPr>
        <w:widowControl/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．中文摘要与关键词。在标题、作者与正文之间应当有摘要与关键词，摘要字数为</w:t>
      </w:r>
      <w:r>
        <w:rPr>
          <w:rFonts w:hint="eastAsia" w:ascii="宋体" w:hAnsi="宋体"/>
          <w:kern w:val="0"/>
          <w:sz w:val="28"/>
          <w:szCs w:val="28"/>
        </w:rPr>
        <w:t>500</w:t>
      </w:r>
      <w:r>
        <w:rPr>
          <w:rFonts w:hint="eastAsia" w:ascii="宋体" w:hAnsi="宋体" w:cs="宋体"/>
          <w:kern w:val="0"/>
          <w:sz w:val="28"/>
          <w:szCs w:val="28"/>
        </w:rPr>
        <w:t>字以下，关键词数量为</w:t>
      </w:r>
      <w:r>
        <w:rPr>
          <w:rFonts w:hint="eastAsia" w:ascii="宋体" w:hAnsi="宋体"/>
          <w:kern w:val="0"/>
          <w:sz w:val="28"/>
          <w:szCs w:val="28"/>
        </w:rPr>
        <w:t>3-5</w:t>
      </w:r>
      <w:r>
        <w:rPr>
          <w:rFonts w:hint="eastAsia" w:ascii="宋体" w:hAnsi="宋体" w:cs="宋体"/>
          <w:kern w:val="0"/>
          <w:sz w:val="28"/>
          <w:szCs w:val="28"/>
        </w:rPr>
        <w:t>个，中间用“；”隔开。（不需要英文摘要和关键词）</w:t>
      </w:r>
    </w:p>
    <w:p>
      <w:pPr>
        <w:widowControl/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4. </w:t>
      </w:r>
      <w:r>
        <w:rPr>
          <w:rFonts w:hint="eastAsia" w:ascii="宋体" w:hAnsi="宋体" w:cs="宋体"/>
          <w:kern w:val="0"/>
          <w:sz w:val="28"/>
          <w:szCs w:val="28"/>
        </w:rPr>
        <w:t>正文。正文请用宋体</w:t>
      </w:r>
      <w:r>
        <w:rPr>
          <w:rFonts w:hint="eastAsia" w:ascii="宋体" w:hAnsi="宋体"/>
          <w:kern w:val="0"/>
          <w:sz w:val="28"/>
          <w:szCs w:val="28"/>
        </w:rPr>
        <w:t>5</w:t>
      </w:r>
      <w:r>
        <w:rPr>
          <w:rFonts w:hint="eastAsia" w:ascii="宋体" w:hAnsi="宋体" w:cs="宋体"/>
          <w:kern w:val="0"/>
          <w:sz w:val="28"/>
          <w:szCs w:val="28"/>
        </w:rPr>
        <w:t>号字，各级标题请加粗。</w:t>
      </w:r>
    </w:p>
    <w:p>
      <w:pPr>
        <w:widowControl/>
        <w:spacing w:line="50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5. 图表：文中能用文字说明的问题，尽量不用图表。确有必要的图表应置于相关段落之后并全文连续标明序号，表格标题在表格正上方，图片标题在图片正下方，表格和图片均居中，相关字体也均设为宋体小5号。</w:t>
      </w:r>
    </w:p>
    <w:p>
      <w:pPr>
        <w:widowControl/>
        <w:spacing w:line="50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6. 页边距为:上下:2.5厘米，左:3厘米，右:2厘米。</w:t>
      </w:r>
    </w:p>
    <w:p>
      <w:pPr>
        <w:widowControl/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7</w:t>
      </w:r>
      <w:r>
        <w:rPr>
          <w:rFonts w:hint="eastAsia" w:ascii="宋体" w:hAnsi="宋体" w:cs="宋体"/>
          <w:kern w:val="0"/>
          <w:sz w:val="28"/>
          <w:szCs w:val="28"/>
        </w:rPr>
        <w:t>．注释。注释请用宋体小</w:t>
      </w:r>
      <w:r>
        <w:rPr>
          <w:rFonts w:hint="eastAsia" w:ascii="宋体" w:hAnsi="宋体"/>
          <w:kern w:val="0"/>
          <w:sz w:val="28"/>
          <w:szCs w:val="28"/>
        </w:rPr>
        <w:t>5</w:t>
      </w:r>
      <w:r>
        <w:rPr>
          <w:rFonts w:hint="eastAsia" w:ascii="宋体" w:hAnsi="宋体" w:cs="宋体"/>
          <w:kern w:val="0"/>
          <w:sz w:val="28"/>
          <w:szCs w:val="28"/>
        </w:rPr>
        <w:t>号字。</w:t>
      </w:r>
    </w:p>
    <w:p>
      <w:pPr>
        <w:widowControl/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作者信息可以包括性别（男士免）、民族（汉族免）、最高学位（硕士及以下可以不写）、工作单位与职称、担任导师情况（硕士生导师、博士生导师）等。</w:t>
      </w:r>
    </w:p>
    <w:p>
      <w:pPr>
        <w:widowControl/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正文注释一律采用当页脚注形式，每页采用“自动编号”以及“每页重新编号”的方式。脚注数字采用①②③④的形式。</w:t>
      </w:r>
    </w:p>
    <w:p>
      <w:pPr>
        <w:widowControl/>
        <w:spacing w:line="500" w:lineRule="exact"/>
        <w:ind w:firstLine="562" w:firstLineChars="20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注释体例如下：</w:t>
      </w:r>
    </w:p>
    <w:p>
      <w:pPr>
        <w:widowControl/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）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著作类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>
      <w:pPr>
        <w:widowControl/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例：刘隆亨：《中国税法概论》（第</w:t>
      </w:r>
      <w:r>
        <w:rPr>
          <w:rFonts w:hint="eastAsia" w:ascii="宋体" w:hAnsi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版），北京大学出版社</w:t>
      </w:r>
      <w:r>
        <w:rPr>
          <w:rFonts w:hint="eastAsia" w:ascii="宋体" w:hAnsi="宋体"/>
          <w:kern w:val="0"/>
          <w:sz w:val="28"/>
          <w:szCs w:val="28"/>
        </w:rPr>
        <w:t>1995</w:t>
      </w:r>
      <w:r>
        <w:rPr>
          <w:rFonts w:hint="eastAsia" w:ascii="宋体" w:hAnsi="宋体" w:cs="宋体"/>
          <w:kern w:val="0"/>
          <w:sz w:val="28"/>
          <w:szCs w:val="28"/>
        </w:rPr>
        <w:t>年版，第</w:t>
      </w:r>
      <w:r>
        <w:rPr>
          <w:rFonts w:hint="eastAsia" w:ascii="宋体" w:hAnsi="宋体"/>
          <w:kern w:val="0"/>
          <w:sz w:val="28"/>
          <w:szCs w:val="28"/>
        </w:rPr>
        <w:t>2-3</w:t>
      </w:r>
      <w:r>
        <w:rPr>
          <w:rFonts w:hint="eastAsia" w:ascii="宋体" w:hAnsi="宋体" w:cs="宋体"/>
          <w:kern w:val="0"/>
          <w:sz w:val="28"/>
          <w:szCs w:val="28"/>
        </w:rPr>
        <w:t>页。</w:t>
      </w:r>
    </w:p>
    <w:p>
      <w:pPr>
        <w:widowControl/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刘剑文主编：《税法学》（第</w:t>
      </w:r>
      <w:r>
        <w:rPr>
          <w:rFonts w:hint="eastAsia" w:ascii="宋体" w:hAnsi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版），人民出版社</w:t>
      </w:r>
      <w:r>
        <w:rPr>
          <w:rFonts w:hint="eastAsia" w:ascii="宋体" w:hAnsi="宋体"/>
          <w:kern w:val="0"/>
          <w:sz w:val="28"/>
          <w:szCs w:val="28"/>
        </w:rPr>
        <w:t>2003</w:t>
      </w:r>
      <w:r>
        <w:rPr>
          <w:rFonts w:hint="eastAsia" w:ascii="宋体" w:hAnsi="宋体" w:cs="宋体"/>
          <w:kern w:val="0"/>
          <w:sz w:val="28"/>
          <w:szCs w:val="28"/>
        </w:rPr>
        <w:t>年版，第</w:t>
      </w:r>
      <w:r>
        <w:rPr>
          <w:rFonts w:hint="eastAsia" w:ascii="宋体" w:hAnsi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页。</w:t>
      </w:r>
    </w:p>
    <w:p>
      <w:pPr>
        <w:widowControl/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[</w:t>
      </w:r>
      <w:r>
        <w:rPr>
          <w:rFonts w:hint="eastAsia" w:ascii="宋体" w:hAnsi="宋体" w:cs="宋体"/>
          <w:kern w:val="0"/>
          <w:sz w:val="28"/>
          <w:szCs w:val="28"/>
        </w:rPr>
        <w:t>美</w:t>
      </w:r>
      <w:r>
        <w:rPr>
          <w:rFonts w:hint="eastAsia" w:ascii="宋体" w:hAnsi="宋体"/>
          <w:kern w:val="0"/>
          <w:sz w:val="28"/>
          <w:szCs w:val="28"/>
        </w:rPr>
        <w:t>]</w:t>
      </w:r>
      <w:r>
        <w:rPr>
          <w:rFonts w:hint="eastAsia" w:ascii="宋体" w:hAnsi="宋体" w:cs="宋体"/>
          <w:kern w:val="0"/>
          <w:sz w:val="28"/>
          <w:szCs w:val="28"/>
        </w:rPr>
        <w:t>理查德</w:t>
      </w:r>
      <w:r>
        <w:rPr>
          <w:rFonts w:hint="eastAsia" w:ascii="宋体" w:hAnsi="宋体"/>
          <w:kern w:val="0"/>
          <w:sz w:val="28"/>
          <w:szCs w:val="28"/>
        </w:rPr>
        <w:t>· A.</w:t>
      </w:r>
      <w:r>
        <w:rPr>
          <w:rFonts w:hint="eastAsia" w:ascii="宋体" w:hAnsi="宋体" w:cs="宋体"/>
          <w:kern w:val="0"/>
          <w:sz w:val="28"/>
          <w:szCs w:val="28"/>
        </w:rPr>
        <w:t>波斯纳：《法律的经济分析》（下），蒋兆康译，中国政法大学出版社</w:t>
      </w:r>
      <w:r>
        <w:rPr>
          <w:rFonts w:hint="eastAsia" w:ascii="宋体" w:hAnsi="宋体"/>
          <w:kern w:val="0"/>
          <w:sz w:val="28"/>
          <w:szCs w:val="28"/>
        </w:rPr>
        <w:t>1997</w:t>
      </w:r>
      <w:r>
        <w:rPr>
          <w:rFonts w:hint="eastAsia" w:ascii="宋体" w:hAnsi="宋体" w:cs="宋体"/>
          <w:kern w:val="0"/>
          <w:sz w:val="28"/>
          <w:szCs w:val="28"/>
        </w:rPr>
        <w:t>年版，第</w:t>
      </w:r>
      <w:r>
        <w:rPr>
          <w:rFonts w:hint="eastAsia" w:ascii="宋体" w:hAnsi="宋体"/>
          <w:kern w:val="0"/>
          <w:sz w:val="28"/>
          <w:szCs w:val="28"/>
        </w:rPr>
        <w:t>625</w:t>
      </w:r>
      <w:r>
        <w:rPr>
          <w:rFonts w:hint="eastAsia" w:ascii="宋体" w:hAnsi="宋体" w:cs="宋体"/>
          <w:kern w:val="0"/>
          <w:sz w:val="28"/>
          <w:szCs w:val="28"/>
        </w:rPr>
        <w:t>页。</w:t>
      </w:r>
    </w:p>
    <w:p>
      <w:pPr>
        <w:widowControl/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《马克思恩格斯选集》（第</w:t>
      </w:r>
      <w:r>
        <w:rPr>
          <w:rFonts w:hint="eastAsia" w:ascii="宋体" w:hAnsi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卷</w:t>
      </w:r>
      <w:r>
        <w:rPr>
          <w:rFonts w:hint="eastAsia" w:ascii="宋体" w:hAnsi="宋体"/>
          <w:kern w:val="0"/>
          <w:sz w:val="28"/>
          <w:szCs w:val="28"/>
        </w:rPr>
        <w:t>)</w:t>
      </w:r>
      <w:r>
        <w:rPr>
          <w:rFonts w:hint="eastAsia" w:ascii="宋体" w:hAnsi="宋体" w:cs="宋体"/>
          <w:kern w:val="0"/>
          <w:sz w:val="28"/>
          <w:szCs w:val="28"/>
        </w:rPr>
        <w:t>，人民出版社</w:t>
      </w:r>
      <w:r>
        <w:rPr>
          <w:rFonts w:hint="eastAsia" w:ascii="宋体" w:hAnsi="宋体"/>
          <w:kern w:val="0"/>
          <w:sz w:val="28"/>
          <w:szCs w:val="28"/>
        </w:rPr>
        <w:t>1972</w:t>
      </w:r>
      <w:r>
        <w:rPr>
          <w:rFonts w:hint="eastAsia" w:ascii="宋体" w:hAnsi="宋体" w:cs="宋体"/>
          <w:kern w:val="0"/>
          <w:sz w:val="28"/>
          <w:szCs w:val="28"/>
        </w:rPr>
        <w:t>年版，第</w:t>
      </w:r>
      <w:r>
        <w:rPr>
          <w:rFonts w:hint="eastAsia" w:ascii="宋体" w:hAnsi="宋体"/>
          <w:kern w:val="0"/>
          <w:sz w:val="28"/>
          <w:szCs w:val="28"/>
        </w:rPr>
        <w:t>200</w:t>
      </w:r>
      <w:r>
        <w:rPr>
          <w:rFonts w:hint="eastAsia" w:ascii="宋体" w:hAnsi="宋体" w:cs="宋体"/>
          <w:kern w:val="0"/>
          <w:sz w:val="28"/>
          <w:szCs w:val="28"/>
        </w:rPr>
        <w:t>页。</w:t>
      </w:r>
    </w:p>
    <w:p>
      <w:pPr>
        <w:widowControl/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）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论文类：</w:t>
      </w:r>
    </w:p>
    <w:p>
      <w:pPr>
        <w:widowControl/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例：张富强：《论税收国家的基础》，载《中国法学》2016年第2期。</w:t>
      </w:r>
    </w:p>
    <w:p>
      <w:pPr>
        <w:widowControl/>
        <w:spacing w:line="50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刘剑文：《中国税收立法研究》，载徐杰主编：《经济法论丛》（第</w:t>
      </w:r>
      <w:r>
        <w:rPr>
          <w:rFonts w:hint="eastAsia" w:ascii="宋体" w:hAnsi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卷</w:t>
      </w:r>
      <w:r>
        <w:rPr>
          <w:rFonts w:hint="eastAsia" w:ascii="宋体" w:hAnsi="宋体"/>
          <w:kern w:val="0"/>
          <w:sz w:val="28"/>
          <w:szCs w:val="28"/>
        </w:rPr>
        <w:t>)</w:t>
      </w:r>
      <w:r>
        <w:rPr>
          <w:rFonts w:hint="eastAsia" w:ascii="宋体" w:hAnsi="宋体" w:cs="宋体"/>
          <w:kern w:val="0"/>
          <w:sz w:val="28"/>
          <w:szCs w:val="28"/>
        </w:rPr>
        <w:t>，法律出版社</w:t>
      </w:r>
      <w:r>
        <w:rPr>
          <w:rFonts w:hint="eastAsia" w:ascii="宋体" w:hAnsi="宋体"/>
          <w:kern w:val="0"/>
          <w:sz w:val="28"/>
          <w:szCs w:val="28"/>
        </w:rPr>
        <w:t>2000</w:t>
      </w:r>
      <w:r>
        <w:rPr>
          <w:rFonts w:hint="eastAsia" w:ascii="宋体" w:hAnsi="宋体" w:cs="宋体"/>
          <w:kern w:val="0"/>
          <w:sz w:val="28"/>
          <w:szCs w:val="28"/>
        </w:rPr>
        <w:t>年版。</w:t>
      </w:r>
    </w:p>
    <w:p>
      <w:pPr>
        <w:widowControl/>
        <w:spacing w:line="50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）引用资料非来自原始出处者，请首先标注原始出处，再标注转引出处。</w:t>
      </w:r>
    </w:p>
    <w:p>
      <w:pPr>
        <w:widowControl/>
        <w:spacing w:line="50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（4）其它资料的注释体例请参照《中国法学》杂志的要求。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F1"/>
    <w:rsid w:val="0004023C"/>
    <w:rsid w:val="000660EC"/>
    <w:rsid w:val="0009444E"/>
    <w:rsid w:val="0013563B"/>
    <w:rsid w:val="00244E22"/>
    <w:rsid w:val="002674AE"/>
    <w:rsid w:val="00350E73"/>
    <w:rsid w:val="003B37C3"/>
    <w:rsid w:val="003F4C1A"/>
    <w:rsid w:val="004149E8"/>
    <w:rsid w:val="00505CBA"/>
    <w:rsid w:val="005469C9"/>
    <w:rsid w:val="00551655"/>
    <w:rsid w:val="005D4E8A"/>
    <w:rsid w:val="00620191"/>
    <w:rsid w:val="007E5DF1"/>
    <w:rsid w:val="008413C9"/>
    <w:rsid w:val="00855ED7"/>
    <w:rsid w:val="008C0FDB"/>
    <w:rsid w:val="008C35BE"/>
    <w:rsid w:val="00982C5E"/>
    <w:rsid w:val="00983FBE"/>
    <w:rsid w:val="009B548B"/>
    <w:rsid w:val="009D4646"/>
    <w:rsid w:val="00AA5F99"/>
    <w:rsid w:val="00B14B49"/>
    <w:rsid w:val="00B72329"/>
    <w:rsid w:val="00B83F35"/>
    <w:rsid w:val="00CF3AE2"/>
    <w:rsid w:val="00D710BD"/>
    <w:rsid w:val="00E30BF3"/>
    <w:rsid w:val="00EC2DF0"/>
    <w:rsid w:val="00F11E6B"/>
    <w:rsid w:val="00F9207F"/>
    <w:rsid w:val="03565574"/>
    <w:rsid w:val="0CE1151B"/>
    <w:rsid w:val="0D160540"/>
    <w:rsid w:val="248505A6"/>
    <w:rsid w:val="30F724F7"/>
    <w:rsid w:val="3A0D7BF1"/>
    <w:rsid w:val="46263727"/>
    <w:rsid w:val="52135A4F"/>
    <w:rsid w:val="549F159E"/>
    <w:rsid w:val="65F9417A"/>
    <w:rsid w:val="72764B59"/>
    <w:rsid w:val="7310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qFormat/>
    <w:uiPriority w:val="0"/>
    <w:rPr>
      <w:rFonts w:ascii="Helvetica" w:hAnsi="Helvetica"/>
      <w:sz w:val="24"/>
    </w:rPr>
  </w:style>
  <w:style w:type="paragraph" w:styleId="4">
    <w:name w:val="annotation text"/>
    <w:basedOn w:val="1"/>
    <w:link w:val="21"/>
    <w:qFormat/>
    <w:uiPriority w:val="0"/>
    <w:pPr>
      <w:jc w:val="left"/>
    </w:pPr>
  </w:style>
  <w:style w:type="paragraph" w:styleId="5">
    <w:name w:val="Plain Text"/>
    <w:basedOn w:val="1"/>
    <w:link w:val="26"/>
    <w:qFormat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2"/>
    <w:qFormat/>
    <w:uiPriority w:val="0"/>
    <w:pPr>
      <w:ind w:left="100" w:leftChars="2500"/>
    </w:pPr>
  </w:style>
  <w:style w:type="paragraph" w:styleId="7">
    <w:name w:val="Balloon Text"/>
    <w:basedOn w:val="1"/>
    <w:link w:val="2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4"/>
    <w:next w:val="4"/>
    <w:link w:val="23"/>
    <w:qFormat/>
    <w:uiPriority w:val="0"/>
    <w:rPr>
      <w:b/>
      <w:bCs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Emphasis"/>
    <w:qFormat/>
    <w:uiPriority w:val="0"/>
    <w:rPr>
      <w:i/>
      <w:iCs/>
    </w:rPr>
  </w:style>
  <w:style w:type="character" w:styleId="17">
    <w:name w:val="Hyperlink"/>
    <w:qFormat/>
    <w:uiPriority w:val="0"/>
    <w:rPr>
      <w:color w:val="072885"/>
      <w:u w:val="non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文档结构图 字符"/>
    <w:link w:val="3"/>
    <w:qFormat/>
    <w:uiPriority w:val="0"/>
    <w:rPr>
      <w:rFonts w:ascii="Helvetica" w:hAnsi="Helvetica"/>
      <w:kern w:val="2"/>
      <w:sz w:val="24"/>
      <w:szCs w:val="24"/>
    </w:rPr>
  </w:style>
  <w:style w:type="character" w:customStyle="1" w:styleId="21">
    <w:name w:val="批注文字 字符"/>
    <w:link w:val="4"/>
    <w:qFormat/>
    <w:uiPriority w:val="0"/>
    <w:rPr>
      <w:kern w:val="2"/>
      <w:sz w:val="21"/>
      <w:szCs w:val="24"/>
    </w:rPr>
  </w:style>
  <w:style w:type="character" w:customStyle="1" w:styleId="22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23">
    <w:name w:val="批注主题 字符"/>
    <w:link w:val="11"/>
    <w:qFormat/>
    <w:uiPriority w:val="0"/>
    <w:rPr>
      <w:b/>
      <w:bCs/>
      <w:kern w:val="2"/>
      <w:sz w:val="21"/>
      <w:szCs w:val="24"/>
    </w:rPr>
  </w:style>
  <w:style w:type="character" w:customStyle="1" w:styleId="24">
    <w:name w:val="标题 1 字符"/>
    <w:basedOn w:val="13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5">
    <w:name w:val="批注框文本 字符"/>
    <w:link w:val="7"/>
    <w:qFormat/>
    <w:uiPriority w:val="0"/>
    <w:rPr>
      <w:kern w:val="2"/>
      <w:sz w:val="18"/>
      <w:szCs w:val="18"/>
    </w:rPr>
  </w:style>
  <w:style w:type="character" w:customStyle="1" w:styleId="26">
    <w:name w:val="纯文本 字符"/>
    <w:basedOn w:val="13"/>
    <w:link w:val="5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7">
    <w:name w:val="纯文本 字符1"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ED9DC3-6C36-4E2A-A954-BD10D4EB4F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426</Words>
  <Characters>2432</Characters>
  <Lines>20</Lines>
  <Paragraphs>5</Paragraphs>
  <TotalTime>28</TotalTime>
  <ScaleCrop>false</ScaleCrop>
  <LinksUpToDate>false</LinksUpToDate>
  <CharactersWithSpaces>2853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2021-10-26T03:54:00Z</dcterms:created>
  <dc:creator>User</dc:creator>
  <cp:lastModifiedBy>陈剑波(办公室)</cp:lastModifiedBy>
  <cp:lastPrinted>2019-09-20T14:29:00Z</cp:lastPrinted>
  <dcterms:modified xsi:type="dcterms:W3CDTF">2021-11-05T14:26:33Z</dcterms:modified>
  <dc:title>第六届南方财税法高层论坛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1A96510573CB4F7180CEB7378B908609</vt:lpwstr>
  </property>
</Properties>
</file>