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附件1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</w:pPr>
      <w:bookmarkStart w:id="1" w:name="_GoBack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第十二届广东省律师协会委员会目录</w:t>
      </w:r>
      <w:bookmarkEnd w:id="1"/>
    </w:p>
    <w:p>
      <w:pPr>
        <w:spacing w:line="560" w:lineRule="exact"/>
        <w:ind w:firstLine="640" w:firstLineChars="200"/>
        <w:rPr>
          <w:rFonts w:ascii="黑体" w:hAnsi="黑体" w:eastAsia="黑体" w:cs="Times New Roman"/>
          <w:color w:val="auto"/>
          <w:sz w:val="32"/>
          <w:szCs w:val="32"/>
          <w:highlight w:val="none"/>
        </w:rPr>
      </w:pPr>
    </w:p>
    <w:p>
      <w:pPr>
        <w:spacing w:line="500" w:lineRule="exact"/>
        <w:ind w:firstLine="640" w:firstLineChars="200"/>
        <w:rPr>
          <w:rFonts w:ascii="Calibri" w:hAnsi="Calibri" w:eastAsia="宋体" w:cs="Times New Roman"/>
          <w:color w:val="auto"/>
          <w:highlight w:val="none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一、工作委员会（24个）</w:t>
      </w:r>
    </w:p>
    <w:tbl>
      <w:tblPr>
        <w:tblStyle w:val="3"/>
        <w:tblW w:w="100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5025"/>
        <w:gridCol w:w="3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tblHeader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黑体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30"/>
                <w:szCs w:val="30"/>
                <w:highlight w:val="none"/>
              </w:rPr>
              <w:t>序号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黑体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30"/>
                <w:szCs w:val="30"/>
                <w:highlight w:val="none"/>
              </w:rPr>
              <w:t>名称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黑体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30"/>
                <w:szCs w:val="30"/>
                <w:highlight w:val="none"/>
              </w:rPr>
              <w:t>简称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党建工作委员会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党建委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会员处分复查工作委员会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复查委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会员违规行为调查工作委员会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调查委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会员违规行为惩戒工作委员会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惩戒委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149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5025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律师执业权利保障工作委员会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（法律职业共同体工作委员会）</w:t>
            </w:r>
          </w:p>
        </w:tc>
        <w:tc>
          <w:tcPr>
            <w:tcW w:w="3879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权保委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（法共委）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149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2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79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文化与宣传表彰工作委员会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文宣委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财务监督与资产管理工作委员会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财资委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规章制度工作委员会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规章委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女律师工作委员会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女律委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会员福利与文体工作委员会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福利委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1149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11</w:t>
            </w:r>
          </w:p>
        </w:tc>
        <w:tc>
          <w:tcPr>
            <w:tcW w:w="5025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“两代表一委员”联络工作委员会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（提案委员会）</w:t>
            </w:r>
          </w:p>
        </w:tc>
        <w:tc>
          <w:tcPr>
            <w:tcW w:w="3879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“两代表一委员”联络委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（提案委）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149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2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79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12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业务研究与培训工作委员会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业务与培训委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13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青年律师工作委员会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青工委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14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公益法律事务工作委员会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公益委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15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村（社区）法律顾问与乡村振兴法律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村居与乡村振兴委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16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申请律师执业人员管理工作委员会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实习委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17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粤港澳大湾区工作委员会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粤港澳大湾区委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18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“一带一路”与外事工作委员会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“一带一路”与外事委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19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公职律师工作委员会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公职委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20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公司律师工作委员会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公司委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21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律师事务所建设指导工作委员会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律所建设委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22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律师行业发展研究工作委员会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行业发展委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23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信息化建设工作委员会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信息委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24</w:t>
            </w:r>
          </w:p>
        </w:tc>
        <w:tc>
          <w:tcPr>
            <w:tcW w:w="50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关爱老律师工作委员会</w:t>
            </w:r>
          </w:p>
        </w:tc>
        <w:tc>
          <w:tcPr>
            <w:tcW w:w="38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关爱老律师委</w:t>
            </w:r>
          </w:p>
        </w:tc>
      </w:tr>
    </w:tbl>
    <w:p>
      <w:pPr>
        <w:spacing w:line="560" w:lineRule="exact"/>
        <w:ind w:firstLine="640" w:firstLineChars="200"/>
        <w:rPr>
          <w:rFonts w:ascii="黑体" w:hAnsi="黑体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二、专业委员会（5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个）</w:t>
      </w:r>
    </w:p>
    <w:tbl>
      <w:tblPr>
        <w:tblStyle w:val="2"/>
        <w:tblW w:w="10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4983"/>
        <w:gridCol w:w="3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tblHeader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黑体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30"/>
                <w:szCs w:val="30"/>
                <w:highlight w:val="none"/>
              </w:rPr>
              <w:t>序号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黑体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30"/>
                <w:szCs w:val="30"/>
                <w:highlight w:val="none"/>
              </w:rPr>
              <w:t>名称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黑体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30"/>
                <w:szCs w:val="30"/>
                <w:highlight w:val="none"/>
              </w:rPr>
              <w:t>简称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刑事法律专业委员会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刑委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职务犯罪辩护专业委员会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职辩委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经济犯罪辩护专业委员会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经辩委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刑民交叉法律事务专业委员会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刑民交叉委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民事法律专业委员会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民委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婚姻家事法律专业委员会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婚姻家事委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消费者权益法律专业委员会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消费者权益委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公司法律专业委员会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公司法委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国有资产法律专业委员会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国资委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破产与清算法律专业委员会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破产与清算委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11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并购重组法律专业委员会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并购重组委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12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强制执行法律专业委员会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强执委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13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不良资产处置法律专业委员会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不良资产委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14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房地产法律专业委员会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房地产委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15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建筑工程法律专业委员会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建工委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16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bookmarkStart w:id="0" w:name="_Hlk91427471"/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物业管理法律专业委员会</w:t>
            </w:r>
            <w:bookmarkEnd w:id="0"/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物管委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17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城市更新法律事务专业委员会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城市更新委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18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银行与金融法律专业委员会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银行与金融委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19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互联网金融法律专业委员会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互联网金融委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20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证券与资本市场法律专业委员会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证资委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21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融资租赁法律专业委员会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融资租赁委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22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信托与财富管理法律专业委员会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信托与财管委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23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私募基金与股权投资法律事务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私募基金与股权委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24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著作权法律专业委员会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著作权委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25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商标法律专业委员会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商标委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26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专利法律专业委员会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专利委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27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数字经济法律专业委员会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数字经济委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28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海事海商法律专业委员会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海事海商委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29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现代物流法律专业委员会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现代物流委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30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航空法律专业委员会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航空委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31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交通管理与运输法律专业委员会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交管与运输委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32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未成年人保护法律专业委员会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未保委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33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教育法律专业委员会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教育委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34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劳动与社会保障法律专业委员会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劳动与社保委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35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行政法律专业委员会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行政委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36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医疗卫生与健康法律专业委员会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医疗与健康委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37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环境与资源法律专业委员会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环资委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38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保险法律专业委员会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保险委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39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竞争与反垄断法律专业委员会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竞争与反垄断委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40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企业法律顾问专业委员会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企顾委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41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政府法律顾问专业委员会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政顾委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42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税务法律专业委员会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税委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43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国际贸易法律专业委员会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国际贸易委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44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贸易救济与产业损害法律专业委员会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贸易救济委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45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跨境争议解决法律专业委员会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跨境争议解决委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46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跨境投资法律专业委员会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跨境投资委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47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跨境金融与资本市场法律专业委员会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跨境金融与资本市场委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48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跨境电商法律专业委员会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跨境电商委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49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w w:val="91"/>
                <w:kern w:val="0"/>
                <w:sz w:val="28"/>
                <w:szCs w:val="28"/>
                <w:highlight w:val="none"/>
                <w:fitText w:val="4617" w:id="868637210"/>
              </w:rPr>
              <w:t>涉外知识产权和信息安全法律专业委员</w:t>
            </w:r>
            <w:r>
              <w:rPr>
                <w:rFonts w:hint="eastAsia" w:ascii="宋体" w:hAnsi="宋体" w:eastAsia="宋体" w:cs="宋体"/>
                <w:color w:val="auto"/>
                <w:spacing w:val="8"/>
                <w:w w:val="91"/>
                <w:kern w:val="0"/>
                <w:sz w:val="28"/>
                <w:szCs w:val="28"/>
                <w:highlight w:val="none"/>
                <w:fitText w:val="4617" w:id="868637210"/>
              </w:rPr>
              <w:t>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涉外知产和信息安全委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50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涉外刑事法律专业委员会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涉外刑委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51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申诉再审专业委员会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申诉再审委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52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仲裁法律专业委员会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仲裁委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53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商事调解法律专业委员会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商事调解委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54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文化传媒与体育法律专业委员会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文化与体育委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55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会展与旅游法律事务专业委员会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会展与旅游委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56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合规与风控法律专业委员会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合规与风控委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57</w:t>
            </w:r>
          </w:p>
        </w:tc>
        <w:tc>
          <w:tcPr>
            <w:tcW w:w="4983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招投标与拍卖法律专业委员会</w:t>
            </w:r>
          </w:p>
        </w:tc>
        <w:tc>
          <w:tcPr>
            <w:tcW w:w="3907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招投标与拍卖委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39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extDirection w:val="btLr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2022-01-07T08:33:34Z</dcterms:created>
  <dc:creator>user</dc:creator>
  <cp:lastModifiedBy>罗楚茵(业务部)</cp:lastModifiedBy>
  <dcterms:modified xsi:type="dcterms:W3CDTF">2022-01-07T08:33:58Z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