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黑体" w:hAnsi="黑体" w:eastAsia="黑体" w:cs="黑体"/>
          <w:szCs w:val="32"/>
        </w:rPr>
      </w:pPr>
      <w:r>
        <w:rPr>
          <w:rFonts w:hint="eastAsia" w:ascii="黑体" w:hAnsi="黑体" w:eastAsia="黑体" w:cs="黑体"/>
          <w:szCs w:val="32"/>
        </w:rPr>
        <w:t>附件2</w:t>
      </w:r>
    </w:p>
    <w:p>
      <w:pPr>
        <w:pStyle w:val="2"/>
        <w:spacing w:line="560" w:lineRule="exact"/>
        <w:jc w:val="center"/>
        <w:rPr>
          <w:rFonts w:ascii="黑体" w:hAnsi="黑体" w:eastAsia="黑体" w:cs="黑体"/>
          <w:sz w:val="40"/>
          <w:szCs w:val="40"/>
        </w:rPr>
      </w:pPr>
      <w:r>
        <w:rPr>
          <w:rFonts w:hint="eastAsia" w:ascii="黑体" w:hAnsi="黑体" w:eastAsia="黑体" w:cs="黑体"/>
          <w:sz w:val="24"/>
          <w:szCs w:val="24"/>
        </w:rPr>
        <w:t xml:space="preserve">                                   备案号</w:t>
      </w:r>
      <w:r>
        <w:rPr>
          <w:rFonts w:hint="eastAsia" w:ascii="黑体" w:hAnsi="黑体" w:eastAsia="黑体" w:cs="黑体"/>
          <w:sz w:val="28"/>
          <w:szCs w:val="28"/>
        </w:rPr>
        <w:t>:No.</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p>
      <w:pPr>
        <w:pStyle w:val="3"/>
        <w:wordWrap/>
        <w:spacing w:line="560" w:lineRule="exact"/>
      </w:pPr>
    </w:p>
    <w:p>
      <w:pPr>
        <w:pStyle w:val="2"/>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rPr>
        <w:t xml:space="preserve">        </w:t>
      </w:r>
      <w:r>
        <w:rPr>
          <w:rFonts w:hint="eastAsia" w:ascii="方正小标宋简体" w:hAnsi="方正小标宋简体" w:eastAsia="方正小标宋简体" w:cs="方正小标宋简体"/>
          <w:sz w:val="40"/>
          <w:szCs w:val="40"/>
        </w:rPr>
        <w:t>律师事务所律师服务费标准</w:t>
      </w:r>
    </w:p>
    <w:p>
      <w:pPr>
        <w:pStyle w:val="3"/>
        <w:wordWrap/>
        <w:spacing w:line="560" w:lineRule="exact"/>
        <w:rPr>
          <w:rFonts w:ascii="楷体" w:hAnsi="楷体" w:eastAsia="楷体" w:cs="楷体"/>
          <w:sz w:val="32"/>
          <w:szCs w:val="32"/>
        </w:rPr>
      </w:pPr>
      <w:r>
        <w:rPr>
          <w:rFonts w:hint="eastAsia" w:ascii="方正小标宋简体" w:hAnsi="方正小标宋简体" w:eastAsia="方正小标宋简体" w:cs="方正小标宋简体"/>
          <w:sz w:val="40"/>
          <w:szCs w:val="40"/>
        </w:rPr>
        <w:t xml:space="preserve">                  </w:t>
      </w:r>
      <w:r>
        <w:rPr>
          <w:rFonts w:hint="eastAsia" w:ascii="楷体" w:hAnsi="楷体" w:eastAsia="楷体" w:cs="楷体"/>
          <w:sz w:val="32"/>
          <w:szCs w:val="32"/>
        </w:rPr>
        <w:t>（示范文本）</w:t>
      </w:r>
    </w:p>
    <w:p>
      <w:pPr>
        <w:spacing w:line="600" w:lineRule="exact"/>
        <w:jc w:val="center"/>
        <w:rPr>
          <w:rFonts w:hint="eastAsia" w:ascii="仿宋_GB2312" w:hAnsi="仿宋_GB2312" w:eastAsia="仿宋_GB2312" w:cs="仿宋_GB2312"/>
          <w:sz w:val="30"/>
          <w:szCs w:val="30"/>
          <w:lang w:val="en-US" w:eastAsia="zh-CN"/>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征求意见稿）</w:t>
      </w:r>
    </w:p>
    <w:p>
      <w:pPr>
        <w:spacing w:line="560" w:lineRule="exact"/>
        <w:jc w:val="center"/>
        <w:rPr>
          <w:rFonts w:ascii="楷体_GB2312" w:hAnsi="楷体_GB2312" w:eastAsia="楷体_GB2312" w:cs="楷体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根据《司法部 国家发展和改革委员会 国家市场监督管理总局印发〈关于进一步规范律师服务收费的意见〉的通知》（司发通〔2021〕87号）和《广东省律师事务所律师服务费标准制定指引（试行）》，结合本所实际，制定本所律师服务费标准，并于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市律师协会备案。</w:t>
      </w:r>
    </w:p>
    <w:p>
      <w:pPr>
        <w:pStyle w:val="2"/>
        <w:spacing w:line="560" w:lineRule="exact"/>
      </w:pPr>
    </w:p>
    <w:p>
      <w:pPr>
        <w:spacing w:line="560" w:lineRule="exact"/>
        <w:jc w:val="center"/>
      </w:pPr>
      <w:bookmarkStart w:id="0" w:name="_Hlk97266138"/>
      <w:r>
        <w:rPr>
          <w:rFonts w:hint="eastAsia" w:ascii="黑体" w:hAnsi="黑体" w:eastAsia="黑体" w:cs="黑体"/>
          <w:sz w:val="32"/>
          <w:szCs w:val="32"/>
        </w:rPr>
        <w:t>第一部分  计时收费标准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一、本所各类法律服务事项均可约定计时收费方式。</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（律师事务所也可以对本所计时收费的服务事项进行限定）</w:t>
      </w:r>
    </w:p>
    <w:p>
      <w:pPr>
        <w:spacing w:line="560" w:lineRule="exact"/>
        <w:ind w:firstLine="645"/>
        <w:rPr>
          <w:rFonts w:ascii="仿宋" w:hAnsi="仿宋" w:eastAsia="仿宋" w:cs="黑体"/>
          <w:sz w:val="32"/>
          <w:szCs w:val="32"/>
        </w:rPr>
      </w:pPr>
      <w:r>
        <w:rPr>
          <w:rFonts w:hint="eastAsia" w:ascii="仿宋" w:hAnsi="仿宋" w:eastAsia="仿宋" w:cs="黑体"/>
          <w:sz w:val="32"/>
          <w:szCs w:val="32"/>
        </w:rPr>
        <w:t>二、本所计时收费的单位时间为</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分钟，设定</w:t>
      </w:r>
      <w:r>
        <w:rPr>
          <w:rFonts w:ascii="仿宋" w:hAnsi="仿宋" w:eastAsia="仿宋" w:cs="黑体"/>
          <w:sz w:val="32"/>
          <w:szCs w:val="32"/>
          <w:u w:val="single"/>
        </w:rPr>
        <w:t xml:space="preserve">   </w:t>
      </w:r>
      <w:r>
        <w:rPr>
          <w:rFonts w:hint="eastAsia" w:ascii="仿宋" w:hAnsi="仿宋" w:eastAsia="仿宋" w:cs="黑体"/>
          <w:sz w:val="32"/>
          <w:szCs w:val="32"/>
        </w:rPr>
        <w:t>档，</w:t>
      </w:r>
      <w:bookmarkStart w:id="1" w:name="_Hlk97269121"/>
      <w:r>
        <w:rPr>
          <w:rFonts w:hint="eastAsia" w:ascii="仿宋" w:hAnsi="仿宋" w:eastAsia="仿宋" w:cs="黑体"/>
          <w:sz w:val="32"/>
          <w:szCs w:val="32"/>
        </w:rPr>
        <w:t>各档</w:t>
      </w:r>
      <w:bookmarkEnd w:id="1"/>
      <w:r>
        <w:rPr>
          <w:rFonts w:hint="eastAsia" w:ascii="仿宋" w:hAnsi="仿宋" w:eastAsia="仿宋" w:cs="黑体"/>
          <w:sz w:val="32"/>
          <w:szCs w:val="32"/>
        </w:rPr>
        <w:t>单位时间的计费标准分别为：</w:t>
      </w:r>
    </w:p>
    <w:p>
      <w:pPr>
        <w:spacing w:line="560" w:lineRule="exact"/>
        <w:ind w:firstLine="645"/>
        <w:rPr>
          <w:rFonts w:ascii="仿宋" w:hAnsi="仿宋" w:eastAsia="仿宋" w:cs="黑体"/>
          <w:sz w:val="32"/>
          <w:szCs w:val="32"/>
        </w:rPr>
      </w:pPr>
      <w:bookmarkStart w:id="2" w:name="_Hlk97266468"/>
      <w:r>
        <w:rPr>
          <w:rFonts w:hint="eastAsia" w:ascii="仿宋" w:hAnsi="仿宋" w:eastAsia="仿宋" w:cs="黑体"/>
          <w:sz w:val="32"/>
          <w:szCs w:val="32"/>
        </w:rPr>
        <w:t xml:space="preserve">第一档 </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元至</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w:t>
      </w:r>
    </w:p>
    <w:bookmarkEnd w:id="2"/>
    <w:p>
      <w:pPr>
        <w:spacing w:line="560" w:lineRule="exact"/>
        <w:ind w:firstLine="645"/>
        <w:rPr>
          <w:rFonts w:ascii="仿宋" w:hAnsi="仿宋" w:eastAsia="仿宋" w:cs="黑体"/>
          <w:sz w:val="32"/>
          <w:szCs w:val="32"/>
        </w:rPr>
      </w:pPr>
      <w:r>
        <w:rPr>
          <w:rFonts w:hint="eastAsia" w:ascii="仿宋" w:hAnsi="仿宋" w:eastAsia="仿宋" w:cs="黑体"/>
          <w:sz w:val="32"/>
          <w:szCs w:val="32"/>
        </w:rPr>
        <w:t xml:space="preserve">第二档 </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元至</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w:t>
      </w:r>
    </w:p>
    <w:p>
      <w:pPr>
        <w:pStyle w:val="2"/>
        <w:spacing w:line="560" w:lineRule="exact"/>
      </w:pPr>
      <w:r>
        <w:rPr>
          <w:rFonts w:hint="eastAsia"/>
        </w:rPr>
        <w:t xml:space="preserve"> </w:t>
      </w:r>
      <w:r>
        <w:t xml:space="preserve">   </w:t>
      </w:r>
      <w:r>
        <w:rPr>
          <w:rFonts w:hint="eastAsia"/>
        </w:rPr>
        <w:t>…………</w:t>
      </w:r>
    </w:p>
    <w:p>
      <w:pPr>
        <w:spacing w:line="560" w:lineRule="exact"/>
        <w:ind w:firstLine="645"/>
        <w:rPr>
          <w:rFonts w:ascii="仿宋" w:hAnsi="仿宋" w:eastAsia="仿宋" w:cs="黑体"/>
          <w:sz w:val="32"/>
          <w:szCs w:val="32"/>
        </w:rPr>
      </w:pPr>
      <w:r>
        <w:rPr>
          <w:rFonts w:hint="eastAsia" w:ascii="仿宋" w:hAnsi="仿宋" w:eastAsia="仿宋" w:cs="黑体"/>
          <w:sz w:val="32"/>
          <w:szCs w:val="32"/>
        </w:rPr>
        <w:t>第</w:t>
      </w:r>
      <w:r>
        <w:rPr>
          <w:rFonts w:ascii="仿宋" w:hAnsi="仿宋" w:eastAsia="仿宋" w:cs="黑体"/>
          <w:sz w:val="32"/>
          <w:szCs w:val="32"/>
          <w:u w:val="single"/>
        </w:rPr>
        <w:t xml:space="preserve">   </w:t>
      </w:r>
      <w:r>
        <w:rPr>
          <w:rFonts w:hint="eastAsia" w:ascii="仿宋" w:hAnsi="仿宋" w:eastAsia="仿宋" w:cs="黑体"/>
          <w:sz w:val="32"/>
          <w:szCs w:val="32"/>
        </w:rPr>
        <w:t xml:space="preserve">档 </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元至</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 w:hAnsi="仿宋" w:eastAsia="仿宋" w:cs="黑体"/>
          <w:sz w:val="32"/>
          <w:szCs w:val="32"/>
        </w:rPr>
        <w:t>元。</w:t>
      </w:r>
    </w:p>
    <w:p>
      <w:pPr>
        <w:pStyle w:val="2"/>
        <w:spacing w:line="560" w:lineRule="exact"/>
        <w:ind w:firstLine="645"/>
        <w:rPr>
          <w:rFonts w:ascii="仿宋" w:hAnsi="仿宋" w:eastAsia="仿宋" w:cs="黑体"/>
          <w:szCs w:val="32"/>
        </w:rPr>
      </w:pPr>
    </w:p>
    <w:p>
      <w:pPr>
        <w:pStyle w:val="2"/>
        <w:widowControl/>
        <w:spacing w:line="560" w:lineRule="exact"/>
        <w:ind w:firstLine="560" w:firstLineChars="200"/>
        <w:rPr>
          <w:rFonts w:ascii="楷体_GB2312" w:hAnsi="楷体_GB2312" w:eastAsia="楷体_GB2312" w:cs="楷体_GB2312"/>
          <w:color w:val="FF0000"/>
          <w:sz w:val="28"/>
          <w:szCs w:val="28"/>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计时收费的工作时长以律师办理委托法律事项过程中了解案情、调查取证、查阅案卷、起草诉讼文书和法律文件、会见被限制人身自由的人员、出庭、参与调解和谈判、商议工作方案、代办各类手续等必要时间，以及委托人认可的其他必要时间为准，节假日可依约定调整。承办律师为两人以上的可分别计算，也可合并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四、承办律师应当向委托人出具服务内容和时长清单及其必要说明。</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第二部分  计件收费和按标的额比例收费标准</w:t>
      </w:r>
    </w:p>
    <w:p>
      <w:pPr>
        <w:pStyle w:val="2"/>
        <w:spacing w:line="560" w:lineRule="exact"/>
      </w:pPr>
    </w:p>
    <w:bookmarkEnd w:id="0"/>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五、本所提供以下诉讼</w:t>
      </w:r>
      <w:bookmarkStart w:id="6" w:name="_GoBack"/>
      <w:bookmarkEnd w:id="6"/>
      <w:r>
        <w:rPr>
          <w:rFonts w:hint="eastAsia" w:ascii="仿宋_GB2312" w:hAnsi="仿宋_GB2312" w:eastAsia="仿宋_GB2312" w:cs="仿宋_GB2312"/>
          <w:sz w:val="32"/>
          <w:szCs w:val="32"/>
        </w:rPr>
        <w:t>仲裁类法律服务事项，可按不同服务内容选择适用计件收费或者</w:t>
      </w:r>
      <w:r>
        <w:rPr>
          <w:rFonts w:hint="eastAsia" w:ascii="仿宋_GB2312" w:hAnsi="仿宋_GB2312" w:eastAsia="仿宋_GB2312" w:cs="仿宋_GB2312"/>
          <w:sz w:val="32"/>
          <w:szCs w:val="32"/>
        </w:rPr>
        <w:t>按标的额</w:t>
      </w:r>
      <w:r>
        <w:rPr>
          <w:rFonts w:hint="eastAsia" w:ascii="仿宋_GB2312" w:hAnsi="仿宋_GB2312" w:eastAsia="仿宋_GB2312" w:cs="仿宋_GB2312"/>
          <w:sz w:val="32"/>
          <w:szCs w:val="32"/>
        </w:rPr>
        <w:t>比例收费，计费标准分别为：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（一）代理民事诉讼、行政诉讼一审案件、仲裁案件，不涉及财产关系的，每件收费</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至</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元；涉及财产关系的，可以按每件收费</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至</w:t>
      </w:r>
      <w:r>
        <w:rPr>
          <w:rFonts w:hint="eastAsia" w:ascii="仿宋" w:hAnsi="仿宋" w:eastAsia="仿宋" w:cs="黑体"/>
          <w:sz w:val="32"/>
          <w:szCs w:val="32"/>
          <w:u w:val="single"/>
        </w:rPr>
        <w:t xml:space="preserve"> </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元，也可以按争议财产标的分段并以一定比例计算或者按基础服务费加收一定比例计算，其中基础服务费为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10万元以下部分，收取</w:t>
      </w:r>
      <w:bookmarkStart w:id="3" w:name="_Hlk101647250"/>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bookmarkEnd w:id="3"/>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10万元至50万元部分，收取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50万元至100万元部分，收取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100万元至500万元部分，收取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500万元至1000万元部分，收取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1000万元至2000万元部分，收取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2000万元至5000万元部分，收取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5000万元以上部分，收取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
      <w:pPr>
        <w:pStyle w:val="2"/>
        <w:spacing w:line="560" w:lineRule="exact"/>
        <w:ind w:firstLine="640" w:firstLineChars="200"/>
        <w:rPr>
          <w:rFonts w:ascii="楷体" w:hAnsi="楷体" w:eastAsia="楷体"/>
        </w:rPr>
      </w:pPr>
      <w:r>
        <w:rPr>
          <w:rFonts w:hint="eastAsia" w:ascii="楷体" w:hAnsi="楷体" w:eastAsia="楷体"/>
        </w:rPr>
        <w:t>（</w:t>
      </w:r>
      <w:r>
        <w:rPr>
          <w:rFonts w:hint="eastAsia" w:ascii="仿宋_GB2312" w:hAnsi="仿宋_GB2312" w:eastAsia="仿宋_GB2312" w:cs="仿宋_GB2312"/>
          <w:szCs w:val="32"/>
        </w:rPr>
        <w:t>各分段的具体区间及具体比例由律师事务所按照相关考虑因素合理设定</w:t>
      </w:r>
      <w:r>
        <w:rPr>
          <w:rFonts w:hint="eastAsia" w:ascii="楷体" w:hAnsi="楷体" w:eastAsia="楷体"/>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委托人提出反诉、仲裁反请求或者对方当事人提出反诉、仲裁反请求的，反诉、仲裁反请求按另一案件处理，可以参照上述收费标准。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代理特别程序、督促程序、公示催告程序案件，参照上述收费标准。</w:t>
      </w:r>
    </w:p>
    <w:p>
      <w:pPr>
        <w:pStyle w:val="2"/>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代理行政复议、行政听证或者其他行政处理案件参照行政诉讼案件一审收费标准。代理申请国家赔偿案件参照涉及财产关系的民事诉讼案件一审收费标准。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代理民事诉讼、行政诉讼案件的二审案件、审判监督程序、发回重审、执行程序的案件，参照一审收费标准。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劳动争议仲裁案件参照民事诉讼案件标准收费。商事仲裁案件参照民事诉讼案件标准或者上浮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%以内收费。申请执行仲裁裁决案件、申请撤销仲裁裁决案件、申请不予执行仲裁裁决案件，参照民事诉讼执行程序收费标准或者上浮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%以内收费。</w:t>
      </w:r>
    </w:p>
    <w:p>
      <w:pPr>
        <w:pStyle w:val="2"/>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（二）办理刑事诉讼案件，按以下标准分别收费：</w:t>
      </w:r>
    </w:p>
    <w:p>
      <w:pPr>
        <w:pStyle w:val="3"/>
        <w:spacing w:line="560" w:lineRule="exact"/>
        <w:ind w:firstLine="645"/>
        <w:rPr>
          <w:rFonts w:ascii="仿宋" w:hAnsi="仿宋" w:eastAsia="仿宋" w:cs="黑体"/>
          <w:kern w:val="2"/>
          <w:sz w:val="32"/>
          <w:szCs w:val="32"/>
        </w:rPr>
      </w:pPr>
      <w:r>
        <w:rPr>
          <w:rFonts w:ascii="仿宋" w:hAnsi="仿宋" w:eastAsia="仿宋" w:cs="黑体"/>
          <w:kern w:val="2"/>
          <w:sz w:val="32"/>
          <w:szCs w:val="32"/>
        </w:rPr>
        <w:t>1.</w:t>
      </w:r>
      <w:r>
        <w:rPr>
          <w:rFonts w:hint="eastAsia" w:ascii="仿宋" w:hAnsi="仿宋" w:eastAsia="仿宋" w:cs="黑体"/>
          <w:kern w:val="2"/>
          <w:sz w:val="32"/>
          <w:szCs w:val="32"/>
        </w:rPr>
        <w:t>刑事</w:t>
      </w:r>
      <w:r>
        <w:rPr>
          <w:rFonts w:ascii="仿宋" w:hAnsi="仿宋" w:eastAsia="仿宋" w:cs="黑体"/>
          <w:kern w:val="2"/>
          <w:sz w:val="32"/>
          <w:szCs w:val="32"/>
        </w:rPr>
        <w:t>侦查阶段</w:t>
      </w:r>
      <w:bookmarkStart w:id="4" w:name="_Hlk97288814"/>
      <w:r>
        <w:rPr>
          <w:rFonts w:hint="eastAsia" w:ascii="仿宋" w:hAnsi="仿宋" w:eastAsia="仿宋" w:cs="黑体"/>
          <w:kern w:val="2"/>
          <w:sz w:val="32"/>
          <w:szCs w:val="32"/>
        </w:rPr>
        <w:t>，</w:t>
      </w:r>
      <w:r>
        <w:rPr>
          <w:rFonts w:ascii="仿宋" w:hAnsi="仿宋" w:eastAsia="仿宋" w:cs="黑体"/>
          <w:kern w:val="2"/>
          <w:sz w:val="32"/>
          <w:szCs w:val="32"/>
          <w:u w:val="single"/>
        </w:rPr>
        <w:t xml:space="preserve">      </w:t>
      </w:r>
      <w:r>
        <w:rPr>
          <w:rFonts w:ascii="仿宋" w:hAnsi="仿宋" w:eastAsia="仿宋" w:cs="黑体"/>
          <w:kern w:val="2"/>
          <w:sz w:val="32"/>
          <w:szCs w:val="32"/>
        </w:rPr>
        <w:t>元</w:t>
      </w:r>
      <w:r>
        <w:rPr>
          <w:rFonts w:hint="eastAsia" w:ascii="仿宋" w:hAnsi="仿宋" w:eastAsia="仿宋" w:cs="黑体"/>
          <w:kern w:val="2"/>
          <w:sz w:val="32"/>
          <w:szCs w:val="32"/>
        </w:rPr>
        <w:t>至</w:t>
      </w:r>
      <w:r>
        <w:rPr>
          <w:rFonts w:hint="eastAsia" w:ascii="仿宋" w:hAnsi="仿宋" w:eastAsia="仿宋" w:cs="黑体"/>
          <w:kern w:val="2"/>
          <w:sz w:val="32"/>
          <w:szCs w:val="32"/>
          <w:u w:val="single"/>
        </w:rPr>
        <w:t xml:space="preserve"> </w:t>
      </w:r>
      <w:r>
        <w:rPr>
          <w:rFonts w:ascii="仿宋" w:hAnsi="仿宋" w:eastAsia="仿宋" w:cs="黑体"/>
          <w:kern w:val="2"/>
          <w:sz w:val="32"/>
          <w:szCs w:val="32"/>
          <w:u w:val="single"/>
        </w:rPr>
        <w:t xml:space="preserve">    </w:t>
      </w:r>
      <w:r>
        <w:rPr>
          <w:rFonts w:ascii="仿宋" w:hAnsi="仿宋" w:eastAsia="仿宋" w:cs="黑体"/>
          <w:kern w:val="2"/>
          <w:sz w:val="32"/>
          <w:szCs w:val="32"/>
        </w:rPr>
        <w:t>元/件。</w:t>
      </w:r>
      <w:bookmarkEnd w:id="4"/>
    </w:p>
    <w:p>
      <w:pPr>
        <w:pStyle w:val="3"/>
        <w:spacing w:line="560" w:lineRule="exact"/>
        <w:ind w:firstLine="645"/>
        <w:rPr>
          <w:rFonts w:ascii="仿宋" w:hAnsi="仿宋" w:eastAsia="仿宋" w:cs="黑体"/>
          <w:kern w:val="2"/>
          <w:sz w:val="32"/>
          <w:szCs w:val="32"/>
        </w:rPr>
      </w:pPr>
      <w:r>
        <w:rPr>
          <w:rFonts w:ascii="仿宋" w:hAnsi="仿宋" w:eastAsia="仿宋" w:cs="黑体"/>
          <w:kern w:val="2"/>
          <w:sz w:val="32"/>
          <w:szCs w:val="32"/>
        </w:rPr>
        <w:t>2.审查起诉阶段</w:t>
      </w:r>
      <w:r>
        <w:rPr>
          <w:rFonts w:hint="eastAsia" w:ascii="仿宋" w:hAnsi="仿宋" w:eastAsia="仿宋" w:cs="黑体"/>
          <w:kern w:val="2"/>
          <w:sz w:val="32"/>
          <w:szCs w:val="32"/>
        </w:rPr>
        <w:t>，</w:t>
      </w:r>
      <w:bookmarkStart w:id="5" w:name="_Hlk97292622"/>
      <w:r>
        <w:rPr>
          <w:rFonts w:ascii="仿宋" w:hAnsi="仿宋" w:eastAsia="仿宋" w:cs="黑体"/>
          <w:kern w:val="2"/>
          <w:sz w:val="32"/>
          <w:szCs w:val="32"/>
          <w:u w:val="single"/>
        </w:rPr>
        <w:t xml:space="preserve">      </w:t>
      </w:r>
      <w:r>
        <w:rPr>
          <w:rFonts w:ascii="仿宋" w:hAnsi="仿宋" w:eastAsia="仿宋" w:cs="黑体"/>
          <w:kern w:val="2"/>
          <w:sz w:val="32"/>
          <w:szCs w:val="32"/>
        </w:rPr>
        <w:t>元</w:t>
      </w:r>
      <w:r>
        <w:rPr>
          <w:rFonts w:hint="eastAsia" w:ascii="仿宋" w:hAnsi="仿宋" w:eastAsia="仿宋" w:cs="黑体"/>
          <w:kern w:val="2"/>
          <w:sz w:val="32"/>
          <w:szCs w:val="32"/>
        </w:rPr>
        <w:t>至</w:t>
      </w:r>
      <w:r>
        <w:rPr>
          <w:rFonts w:hint="eastAsia" w:ascii="仿宋" w:hAnsi="仿宋" w:eastAsia="仿宋" w:cs="黑体"/>
          <w:kern w:val="2"/>
          <w:sz w:val="32"/>
          <w:szCs w:val="32"/>
          <w:u w:val="single"/>
        </w:rPr>
        <w:t xml:space="preserve"> </w:t>
      </w:r>
      <w:r>
        <w:rPr>
          <w:rFonts w:ascii="仿宋" w:hAnsi="仿宋" w:eastAsia="仿宋" w:cs="黑体"/>
          <w:kern w:val="2"/>
          <w:sz w:val="32"/>
          <w:szCs w:val="32"/>
          <w:u w:val="single"/>
        </w:rPr>
        <w:t xml:space="preserve">    </w:t>
      </w:r>
      <w:r>
        <w:rPr>
          <w:rFonts w:ascii="仿宋" w:hAnsi="仿宋" w:eastAsia="仿宋" w:cs="黑体"/>
          <w:kern w:val="2"/>
          <w:sz w:val="32"/>
          <w:szCs w:val="32"/>
        </w:rPr>
        <w:t>元/件</w:t>
      </w:r>
      <w:bookmarkEnd w:id="5"/>
      <w:r>
        <w:rPr>
          <w:rFonts w:ascii="仿宋" w:hAnsi="仿宋" w:eastAsia="仿宋" w:cs="黑体"/>
          <w:kern w:val="2"/>
          <w:sz w:val="32"/>
          <w:szCs w:val="32"/>
        </w:rPr>
        <w:t>。</w:t>
      </w:r>
    </w:p>
    <w:p>
      <w:pPr>
        <w:pStyle w:val="3"/>
        <w:spacing w:line="560" w:lineRule="exact"/>
        <w:ind w:firstLine="645"/>
        <w:rPr>
          <w:rFonts w:ascii="仿宋" w:hAnsi="仿宋" w:eastAsia="仿宋" w:cs="黑体"/>
          <w:kern w:val="2"/>
          <w:sz w:val="32"/>
          <w:szCs w:val="32"/>
        </w:rPr>
      </w:pPr>
      <w:r>
        <w:rPr>
          <w:rFonts w:ascii="仿宋" w:hAnsi="仿宋" w:eastAsia="仿宋" w:cs="黑体"/>
          <w:kern w:val="2"/>
          <w:sz w:val="32"/>
          <w:szCs w:val="32"/>
        </w:rPr>
        <w:t>3.</w:t>
      </w:r>
      <w:r>
        <w:rPr>
          <w:rFonts w:hint="eastAsia" w:ascii="仿宋" w:hAnsi="仿宋" w:eastAsia="仿宋" w:cs="黑体"/>
          <w:kern w:val="2"/>
          <w:sz w:val="32"/>
          <w:szCs w:val="32"/>
        </w:rPr>
        <w:t>一</w:t>
      </w:r>
      <w:r>
        <w:rPr>
          <w:rFonts w:ascii="仿宋" w:hAnsi="仿宋" w:eastAsia="仿宋" w:cs="黑体"/>
          <w:kern w:val="2"/>
          <w:sz w:val="32"/>
          <w:szCs w:val="32"/>
        </w:rPr>
        <w:t>审阶段</w:t>
      </w:r>
      <w:r>
        <w:rPr>
          <w:rFonts w:hint="eastAsia" w:ascii="仿宋" w:hAnsi="仿宋" w:eastAsia="仿宋" w:cs="黑体"/>
          <w:kern w:val="2"/>
          <w:sz w:val="32"/>
          <w:szCs w:val="32"/>
        </w:rPr>
        <w:t>，</w:t>
      </w:r>
      <w:r>
        <w:rPr>
          <w:rFonts w:ascii="仿宋" w:hAnsi="仿宋" w:eastAsia="仿宋" w:cs="黑体"/>
          <w:kern w:val="2"/>
          <w:sz w:val="32"/>
          <w:szCs w:val="32"/>
          <w:u w:val="single"/>
        </w:rPr>
        <w:t xml:space="preserve">      </w:t>
      </w:r>
      <w:r>
        <w:rPr>
          <w:rFonts w:ascii="仿宋" w:hAnsi="仿宋" w:eastAsia="仿宋" w:cs="黑体"/>
          <w:kern w:val="2"/>
          <w:sz w:val="32"/>
          <w:szCs w:val="32"/>
        </w:rPr>
        <w:t>元</w:t>
      </w:r>
      <w:r>
        <w:rPr>
          <w:rFonts w:hint="eastAsia" w:ascii="仿宋" w:hAnsi="仿宋" w:eastAsia="仿宋" w:cs="黑体"/>
          <w:kern w:val="2"/>
          <w:sz w:val="32"/>
          <w:szCs w:val="32"/>
        </w:rPr>
        <w:t>至</w:t>
      </w:r>
      <w:r>
        <w:rPr>
          <w:rFonts w:hint="eastAsia" w:ascii="仿宋" w:hAnsi="仿宋" w:eastAsia="仿宋" w:cs="黑体"/>
          <w:kern w:val="2"/>
          <w:sz w:val="32"/>
          <w:szCs w:val="32"/>
          <w:u w:val="single"/>
        </w:rPr>
        <w:t xml:space="preserve"> </w:t>
      </w:r>
      <w:r>
        <w:rPr>
          <w:rFonts w:ascii="仿宋" w:hAnsi="仿宋" w:eastAsia="仿宋" w:cs="黑体"/>
          <w:kern w:val="2"/>
          <w:sz w:val="32"/>
          <w:szCs w:val="32"/>
          <w:u w:val="single"/>
        </w:rPr>
        <w:t xml:space="preserve">    </w:t>
      </w:r>
      <w:r>
        <w:rPr>
          <w:rFonts w:ascii="仿宋" w:hAnsi="仿宋" w:eastAsia="仿宋" w:cs="黑体"/>
          <w:kern w:val="2"/>
          <w:sz w:val="32"/>
          <w:szCs w:val="32"/>
        </w:rPr>
        <w:t>元/件。</w:t>
      </w:r>
    </w:p>
    <w:p>
      <w:pPr>
        <w:pStyle w:val="3"/>
        <w:spacing w:line="560" w:lineRule="exact"/>
        <w:ind w:firstLine="645"/>
        <w:rPr>
          <w:rFonts w:ascii="仿宋" w:hAnsi="仿宋" w:eastAsia="仿宋" w:cs="黑体"/>
          <w:kern w:val="2"/>
          <w:sz w:val="32"/>
          <w:szCs w:val="32"/>
        </w:rPr>
      </w:pPr>
      <w:r>
        <w:rPr>
          <w:rFonts w:ascii="仿宋" w:hAnsi="仿宋" w:eastAsia="仿宋" w:cs="黑体"/>
          <w:kern w:val="2"/>
          <w:sz w:val="32"/>
          <w:szCs w:val="32"/>
        </w:rPr>
        <w:t>4.</w:t>
      </w:r>
      <w:r>
        <w:rPr>
          <w:rFonts w:hint="eastAsia" w:ascii="仿宋" w:hAnsi="仿宋" w:eastAsia="仿宋" w:cs="黑体"/>
          <w:kern w:val="2"/>
          <w:sz w:val="32"/>
          <w:szCs w:val="32"/>
        </w:rPr>
        <w:t>审判监督程序，</w:t>
      </w:r>
      <w:r>
        <w:rPr>
          <w:rFonts w:ascii="仿宋" w:hAnsi="仿宋" w:eastAsia="仿宋" w:cs="黑体"/>
          <w:kern w:val="2"/>
          <w:sz w:val="32"/>
          <w:szCs w:val="32"/>
          <w:u w:val="single"/>
        </w:rPr>
        <w:t xml:space="preserve">      </w:t>
      </w:r>
      <w:r>
        <w:rPr>
          <w:rFonts w:ascii="仿宋" w:hAnsi="仿宋" w:eastAsia="仿宋" w:cs="黑体"/>
          <w:kern w:val="2"/>
          <w:sz w:val="32"/>
          <w:szCs w:val="32"/>
        </w:rPr>
        <w:t>元</w:t>
      </w:r>
      <w:r>
        <w:rPr>
          <w:rFonts w:hint="eastAsia" w:ascii="仿宋" w:hAnsi="仿宋" w:eastAsia="仿宋" w:cs="黑体"/>
          <w:kern w:val="2"/>
          <w:sz w:val="32"/>
          <w:szCs w:val="32"/>
        </w:rPr>
        <w:t>至</w:t>
      </w:r>
      <w:r>
        <w:rPr>
          <w:rFonts w:hint="eastAsia" w:ascii="仿宋" w:hAnsi="仿宋" w:eastAsia="仿宋" w:cs="黑体"/>
          <w:kern w:val="2"/>
          <w:sz w:val="32"/>
          <w:szCs w:val="32"/>
          <w:u w:val="single"/>
        </w:rPr>
        <w:t xml:space="preserve"> </w:t>
      </w:r>
      <w:r>
        <w:rPr>
          <w:rFonts w:ascii="仿宋" w:hAnsi="仿宋" w:eastAsia="仿宋" w:cs="黑体"/>
          <w:kern w:val="2"/>
          <w:sz w:val="32"/>
          <w:szCs w:val="32"/>
          <w:u w:val="single"/>
        </w:rPr>
        <w:t xml:space="preserve">    </w:t>
      </w:r>
      <w:r>
        <w:rPr>
          <w:rFonts w:ascii="仿宋" w:hAnsi="仿宋" w:eastAsia="仿宋" w:cs="黑体"/>
          <w:kern w:val="2"/>
          <w:sz w:val="32"/>
          <w:szCs w:val="32"/>
        </w:rPr>
        <w:t>元/件。</w:t>
      </w:r>
    </w:p>
    <w:p>
      <w:pPr>
        <w:pStyle w:val="3"/>
        <w:spacing w:line="560" w:lineRule="exact"/>
        <w:ind w:firstLine="645"/>
        <w:rPr>
          <w:rFonts w:ascii="仿宋" w:hAnsi="仿宋" w:eastAsia="仿宋" w:cs="黑体"/>
          <w:kern w:val="2"/>
          <w:sz w:val="32"/>
          <w:szCs w:val="32"/>
        </w:rPr>
      </w:pPr>
      <w:r>
        <w:rPr>
          <w:rFonts w:ascii="仿宋" w:hAnsi="仿宋" w:eastAsia="仿宋" w:cs="黑体"/>
          <w:kern w:val="2"/>
          <w:sz w:val="32"/>
          <w:szCs w:val="32"/>
        </w:rPr>
        <w:t>5.死刑复核阶段</w:t>
      </w:r>
      <w:r>
        <w:rPr>
          <w:rFonts w:hint="eastAsia" w:ascii="仿宋" w:hAnsi="仿宋" w:eastAsia="仿宋" w:cs="黑体"/>
          <w:kern w:val="2"/>
          <w:sz w:val="32"/>
          <w:szCs w:val="32"/>
        </w:rPr>
        <w:t>，</w:t>
      </w:r>
      <w:r>
        <w:rPr>
          <w:rFonts w:ascii="仿宋" w:hAnsi="仿宋" w:eastAsia="仿宋" w:cs="黑体"/>
          <w:kern w:val="2"/>
          <w:sz w:val="32"/>
          <w:szCs w:val="32"/>
          <w:u w:val="single"/>
        </w:rPr>
        <w:t xml:space="preserve">      </w:t>
      </w:r>
      <w:r>
        <w:rPr>
          <w:rFonts w:ascii="仿宋" w:hAnsi="仿宋" w:eastAsia="仿宋" w:cs="黑体"/>
          <w:kern w:val="2"/>
          <w:sz w:val="32"/>
          <w:szCs w:val="32"/>
        </w:rPr>
        <w:t>元</w:t>
      </w:r>
      <w:r>
        <w:rPr>
          <w:rFonts w:hint="eastAsia" w:ascii="仿宋" w:hAnsi="仿宋" w:eastAsia="仿宋" w:cs="黑体"/>
          <w:kern w:val="2"/>
          <w:sz w:val="32"/>
          <w:szCs w:val="32"/>
        </w:rPr>
        <w:t>至</w:t>
      </w:r>
      <w:r>
        <w:rPr>
          <w:rFonts w:hint="eastAsia" w:ascii="仿宋" w:hAnsi="仿宋" w:eastAsia="仿宋" w:cs="黑体"/>
          <w:kern w:val="2"/>
          <w:sz w:val="32"/>
          <w:szCs w:val="32"/>
          <w:u w:val="single"/>
        </w:rPr>
        <w:t xml:space="preserve"> </w:t>
      </w:r>
      <w:r>
        <w:rPr>
          <w:rFonts w:ascii="仿宋" w:hAnsi="仿宋" w:eastAsia="仿宋" w:cs="黑体"/>
          <w:kern w:val="2"/>
          <w:sz w:val="32"/>
          <w:szCs w:val="32"/>
          <w:u w:val="single"/>
        </w:rPr>
        <w:t xml:space="preserve">    </w:t>
      </w:r>
      <w:r>
        <w:rPr>
          <w:rFonts w:ascii="仿宋" w:hAnsi="仿宋" w:eastAsia="仿宋" w:cs="黑体"/>
          <w:kern w:val="2"/>
          <w:sz w:val="32"/>
          <w:szCs w:val="32"/>
        </w:rPr>
        <w:t>元/件。</w:t>
      </w:r>
    </w:p>
    <w:p>
      <w:pPr>
        <w:spacing w:line="560" w:lineRule="exact"/>
        <w:ind w:firstLine="640" w:firstLineChars="200"/>
        <w:rPr>
          <w:rFonts w:ascii="仿宋_GB2312" w:hAnsi="仿宋_GB2312" w:eastAsia="仿宋_GB2312" w:cs="仿宋_GB2312"/>
          <w:sz w:val="32"/>
          <w:szCs w:val="32"/>
        </w:rPr>
      </w:pPr>
      <w:r>
        <w:rPr>
          <w:rFonts w:ascii="仿宋" w:hAnsi="仿宋" w:eastAsia="仿宋" w:cs="黑体"/>
          <w:kern w:val="2"/>
          <w:sz w:val="32"/>
          <w:szCs w:val="32"/>
        </w:rPr>
        <w:t>6.</w:t>
      </w:r>
      <w:r>
        <w:rPr>
          <w:rFonts w:hint="eastAsia" w:ascii="仿宋_GB2312" w:hAnsi="仿宋_GB2312" w:eastAsia="仿宋_GB2312" w:cs="仿宋_GB2312"/>
          <w:sz w:val="32"/>
          <w:szCs w:val="32"/>
        </w:rPr>
        <w:t>刑事判决生效后的减刑、假释、保外就医、社区监管、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罚金刑的执行、财产没收等诉讼活动，</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pStyle w:val="2"/>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7.二审、审判监督程序、发回重审、执行程序的案件，参照一审收费标准。</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8.代理刑事附带民事诉讼案件，刑事部分与民事部分按照上述相应标准分别计费，也可以在此基础上约定调节，</w:t>
      </w:r>
      <w:r>
        <w:rPr>
          <w:rFonts w:hint="eastAsia" w:ascii="仿宋_GB2312" w:hAnsi="仿宋_GB2312" w:eastAsia="仿宋_GB2312" w:cs="仿宋_GB2312"/>
          <w:kern w:val="0"/>
          <w:sz w:val="32"/>
          <w:szCs w:val="32"/>
          <w:lang w:eastAsia="zh-Hans"/>
        </w:rPr>
        <w:t>禁止实行</w:t>
      </w:r>
      <w:r>
        <w:rPr>
          <w:rFonts w:hint="eastAsia" w:ascii="仿宋_GB2312" w:hAnsi="仿宋_GB2312" w:eastAsia="仿宋_GB2312" w:cs="仿宋_GB2312"/>
          <w:kern w:val="0"/>
          <w:sz w:val="32"/>
          <w:szCs w:val="32"/>
        </w:rPr>
        <w:t>或者</w:t>
      </w:r>
      <w:r>
        <w:rPr>
          <w:rFonts w:hint="eastAsia" w:ascii="仿宋_GB2312" w:hAnsi="仿宋_GB2312" w:eastAsia="仿宋_GB2312" w:cs="仿宋_GB2312"/>
          <w:kern w:val="0"/>
          <w:sz w:val="32"/>
          <w:szCs w:val="32"/>
          <w:lang w:eastAsia="zh-Hans"/>
        </w:rPr>
        <w:t>变相实行风险代理收费</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（三）其他诉讼法律服务事项的计件收费，律师事务所与委托人可根据最相近似原则参照本标准协商确定。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九、本所提供非诉讼仲裁类法律服务事项收费标准分别如下：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（一）非诉讼仲裁类法律服务事项涉及财产关系的，可以按委托事项涉及标的分段计费，各段计费标准为：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100万元以下部分，收取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100万元至1000万元部分，收取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1000万元至5000万元部分，收取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5000万元至1亿元部分，收取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1亿元以上部分，收取</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（律师事务所可以对本所收费分段的区间酌情调整）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（二）以下非诉讼仲裁类法律服务事项收费标准：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（1）担任常年法律顾问，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（2）担任专项法律顾问（含专项法律顾问费），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（3）法律咨询服务费，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（4）法律论证服务费，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（5）法律培训服务费，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（6）律师见证服务费，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pStyle w:val="2"/>
        <w:ind w:firstLine="640" w:firstLineChars="200"/>
        <w:rPr>
          <w:rFonts w:ascii="仿宋_GB2312" w:hAnsi="仿宋_GB2312" w:eastAsia="仿宋_GB2312" w:cs="仿宋_GB2312"/>
          <w:szCs w:val="32"/>
          <w:lang w:eastAsia="zh-Hans"/>
        </w:rPr>
      </w:pPr>
      <w:r>
        <w:rPr>
          <w:rFonts w:hint="eastAsia" w:ascii="仿宋_GB2312" w:hAnsi="仿宋_GB2312" w:eastAsia="仿宋_GB2312" w:cs="仿宋_GB2312"/>
          <w:szCs w:val="32"/>
          <w:lang w:eastAsia="zh-Hans"/>
        </w:rPr>
        <w:t>（</w:t>
      </w:r>
      <w:r>
        <w:rPr>
          <w:rFonts w:hint="eastAsia" w:ascii="仿宋_GB2312" w:hAnsi="仿宋_GB2312" w:eastAsia="仿宋_GB2312" w:cs="仿宋_GB2312"/>
          <w:szCs w:val="32"/>
        </w:rPr>
        <w:t>7</w:t>
      </w:r>
      <w:r>
        <w:rPr>
          <w:rFonts w:hint="eastAsia" w:ascii="仿宋_GB2312" w:hAnsi="仿宋_GB2312" w:eastAsia="仿宋_GB2312" w:cs="仿宋_GB2312"/>
          <w:szCs w:val="32"/>
          <w:lang w:eastAsia="zh-Hans"/>
        </w:rPr>
        <w:t>）出具律师函、法律意见书、法律咨询回函，以及开展资信调查、法律尽职调查等事项的服务费</w:t>
      </w:r>
      <w:r>
        <w:rPr>
          <w:rFonts w:hint="eastAsia" w:ascii="仿宋_GB2312" w:hAnsi="仿宋_GB2312" w:eastAsia="仿宋_GB2312" w:cs="仿宋_GB2312"/>
          <w:szCs w:val="32"/>
        </w:rPr>
        <w:t>，</w:t>
      </w:r>
      <w:r>
        <w:rPr>
          <w:rFonts w:ascii="仿宋" w:hAnsi="仿宋" w:eastAsia="仿宋" w:cs="黑体"/>
          <w:szCs w:val="32"/>
          <w:u w:val="single"/>
        </w:rPr>
        <w:t xml:space="preserve">      </w:t>
      </w:r>
      <w:r>
        <w:rPr>
          <w:rFonts w:hint="eastAsia" w:ascii="仿宋_GB2312" w:hAnsi="仿宋_GB2312" w:eastAsia="仿宋_GB2312" w:cs="仿宋_GB2312"/>
          <w:szCs w:val="32"/>
        </w:rPr>
        <w:t>元至</w:t>
      </w:r>
      <w:r>
        <w:rPr>
          <w:rFonts w:ascii="仿宋" w:hAnsi="仿宋" w:eastAsia="仿宋" w:cs="黑体"/>
          <w:szCs w:val="32"/>
          <w:u w:val="single"/>
        </w:rPr>
        <w:t xml:space="preserve">      </w:t>
      </w:r>
      <w:r>
        <w:rPr>
          <w:rFonts w:hint="eastAsia" w:ascii="仿宋_GB2312" w:hAnsi="仿宋_GB2312" w:eastAsia="仿宋_GB2312" w:cs="仿宋_GB2312"/>
          <w:szCs w:val="32"/>
        </w:rPr>
        <w:t>元/件；</w:t>
      </w:r>
    </w:p>
    <w:p>
      <w:pPr>
        <w:pStyle w:val="2"/>
        <w:ind w:firstLine="640" w:firstLineChars="200"/>
        <w:rPr>
          <w:rFonts w:eastAsia="仿宋_GB2312"/>
        </w:rPr>
      </w:pPr>
      <w:r>
        <w:rPr>
          <w:rFonts w:hint="eastAsia" w:ascii="仿宋_GB2312" w:hAnsi="仿宋_GB2312" w:eastAsia="仿宋_GB2312" w:cs="仿宋_GB2312"/>
          <w:szCs w:val="32"/>
          <w:lang w:eastAsia="zh-Hans"/>
        </w:rPr>
        <w:t>（</w:t>
      </w:r>
      <w:r>
        <w:rPr>
          <w:rFonts w:hint="eastAsia" w:ascii="仿宋_GB2312" w:hAnsi="仿宋_GB2312" w:eastAsia="仿宋_GB2312" w:cs="仿宋_GB2312"/>
          <w:szCs w:val="32"/>
        </w:rPr>
        <w:t>8</w:t>
      </w:r>
      <w:r>
        <w:rPr>
          <w:rFonts w:hint="eastAsia" w:ascii="仿宋_GB2312" w:hAnsi="仿宋_GB2312" w:eastAsia="仿宋_GB2312" w:cs="仿宋_GB2312"/>
          <w:szCs w:val="32"/>
          <w:lang w:eastAsia="zh-Hans"/>
        </w:rPr>
        <w:t>）起草、审查</w:t>
      </w:r>
      <w:r>
        <w:rPr>
          <w:rFonts w:hint="eastAsia" w:ascii="仿宋_GB2312" w:hAnsi="仿宋_GB2312" w:eastAsia="仿宋_GB2312" w:cs="仿宋_GB2312"/>
          <w:szCs w:val="32"/>
        </w:rPr>
        <w:t>或者</w:t>
      </w:r>
      <w:r>
        <w:rPr>
          <w:rFonts w:hint="eastAsia" w:ascii="仿宋_GB2312" w:hAnsi="仿宋_GB2312" w:eastAsia="仿宋_GB2312" w:cs="仿宋_GB2312"/>
          <w:szCs w:val="32"/>
          <w:lang w:eastAsia="zh-Hans"/>
        </w:rPr>
        <w:t>修改合同</w:t>
      </w:r>
      <w:r>
        <w:rPr>
          <w:rFonts w:hint="eastAsia" w:ascii="仿宋_GB2312" w:hAnsi="仿宋_GB2312" w:eastAsia="仿宋_GB2312" w:cs="仿宋_GB2312"/>
          <w:szCs w:val="32"/>
        </w:rPr>
        <w:t>或者</w:t>
      </w:r>
      <w:r>
        <w:rPr>
          <w:rFonts w:hint="eastAsia" w:ascii="仿宋_GB2312" w:hAnsi="仿宋_GB2312" w:eastAsia="仿宋_GB2312" w:cs="仿宋_GB2312"/>
          <w:szCs w:val="32"/>
          <w:lang w:eastAsia="zh-Hans"/>
        </w:rPr>
        <w:t>其他文件等事项的服务费</w:t>
      </w:r>
      <w:r>
        <w:rPr>
          <w:rFonts w:hint="eastAsia" w:ascii="仿宋_GB2312" w:hAnsi="仿宋_GB2312" w:eastAsia="仿宋_GB2312" w:cs="仿宋_GB2312"/>
          <w:szCs w:val="32"/>
        </w:rPr>
        <w:t>，</w:t>
      </w:r>
      <w:r>
        <w:rPr>
          <w:rFonts w:ascii="仿宋" w:hAnsi="仿宋" w:eastAsia="仿宋" w:cs="黑体"/>
          <w:szCs w:val="32"/>
          <w:u w:val="single"/>
        </w:rPr>
        <w:t xml:space="preserve">      </w:t>
      </w:r>
      <w:r>
        <w:rPr>
          <w:rFonts w:hint="eastAsia" w:ascii="仿宋_GB2312" w:hAnsi="仿宋_GB2312" w:eastAsia="仿宋_GB2312" w:cs="仿宋_GB2312"/>
          <w:szCs w:val="32"/>
        </w:rPr>
        <w:t>元至</w:t>
      </w:r>
      <w:r>
        <w:rPr>
          <w:rFonts w:ascii="仿宋" w:hAnsi="仿宋" w:eastAsia="仿宋" w:cs="黑体"/>
          <w:szCs w:val="32"/>
          <w:u w:val="single"/>
        </w:rPr>
        <w:t xml:space="preserve">      </w:t>
      </w:r>
      <w:r>
        <w:rPr>
          <w:rFonts w:hint="eastAsia" w:ascii="仿宋_GB2312" w:hAnsi="仿宋_GB2312" w:eastAsia="仿宋_GB2312" w:cs="仿宋_GB231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（9）代书、代办公证，代为声明等事项的服务费，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（10）参与谈判事务的服务费，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（11）其他非诉讼仲裁类法律服务事项的服务费，</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元至</w:t>
      </w:r>
      <w:r>
        <w:rPr>
          <w:rFonts w:ascii="仿宋" w:hAnsi="仿宋" w:eastAsia="仿宋" w:cs="黑体"/>
          <w:sz w:val="32"/>
          <w:szCs w:val="32"/>
          <w:u w:val="single"/>
        </w:rPr>
        <w:t xml:space="preserve">      </w:t>
      </w:r>
      <w:r>
        <w:rPr>
          <w:rFonts w:hint="eastAsia" w:ascii="仿宋_GB2312" w:hAnsi="仿宋_GB2312" w:eastAsia="仿宋_GB2312" w:cs="仿宋_GB2312"/>
          <w:sz w:val="32"/>
          <w:szCs w:val="32"/>
        </w:rPr>
        <w:t>元/件。</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（律师事务所也可以对不同的非诉讼法律服务事项分类分档罗列价目）</w:t>
      </w:r>
    </w:p>
    <w:p>
      <w:pPr>
        <w:pStyle w:val="2"/>
        <w:ind w:firstLine="640" w:firstLineChars="200"/>
        <w:rPr>
          <w:rFonts w:ascii="仿宋_GB2312" w:hAnsi="仿宋_GB2312" w:eastAsia="仿宋_GB2312" w:cs="仿宋_GB2312"/>
        </w:rPr>
      </w:pPr>
      <w:r>
        <w:rPr>
          <w:rFonts w:hint="eastAsia" w:ascii="仿宋_GB2312" w:hAnsi="仿宋_GB2312" w:eastAsia="仿宋_GB2312" w:cs="仿宋_GB2312"/>
        </w:rPr>
        <w:t>担任人民法院指定破产管理人、强制清算管理人案件的收费标准，依照《最高人民法院关于审理企业破产案件确定管理人报酬的规定》及各地人民法院的相关规定执行。</w:t>
      </w:r>
    </w:p>
    <w:p>
      <w:pPr>
        <w:pStyle w:val="23"/>
        <w:spacing w:line="600" w:lineRule="exact"/>
        <w:ind w:firstLine="640"/>
        <w:rPr>
          <w:rFonts w:ascii="仿宋_GB2312" w:hAnsi="仿宋_GB2312" w:eastAsia="仿宋_GB2312" w:cs="仿宋_GB2312"/>
          <w:kern w:val="0"/>
          <w:sz w:val="32"/>
          <w:szCs w:val="32"/>
          <w:lang w:eastAsia="zh-Hans"/>
        </w:rPr>
      </w:pPr>
      <w:r>
        <w:rPr>
          <w:rFonts w:hint="eastAsia" w:ascii="仿宋_GB2312" w:hAnsi="仿宋_GB2312" w:eastAsia="仿宋_GB2312" w:cs="仿宋_GB2312"/>
          <w:sz w:val="32"/>
          <w:szCs w:val="32"/>
        </w:rPr>
        <w:t>十、代理重大、疑难、复杂或者具有涉外因素的法律服务事项，可按照法律服务事项性质所对应的收费标准在</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倍以内</w:t>
      </w:r>
      <w:r>
        <w:rPr>
          <w:rFonts w:hint="eastAsia" w:ascii="仿宋_GB2312" w:hAnsi="仿宋_GB2312" w:eastAsia="仿宋_GB2312" w:cs="仿宋_GB2312"/>
          <w:sz w:val="32"/>
          <w:szCs w:val="32"/>
        </w:rPr>
        <w:t>收费。</w:t>
      </w:r>
    </w:p>
    <w:p>
      <w:pPr>
        <w:spacing w:line="560" w:lineRule="exact"/>
        <w:ind w:firstLine="640" w:firstLineChars="200"/>
        <w:rPr>
          <w:rFonts w:ascii="仿宋_GB2312" w:hAnsi="仿宋_GB2312" w:eastAsia="仿宋_GB2312" w:cs="仿宋_GB2312"/>
          <w:sz w:val="32"/>
          <w:szCs w:val="32"/>
        </w:rPr>
      </w:pPr>
    </w:p>
    <w:p>
      <w:pPr>
        <w:pStyle w:val="3"/>
        <w:ind w:firstLine="444"/>
      </w:pPr>
    </w:p>
    <w:p>
      <w:pPr>
        <w:spacing w:line="560" w:lineRule="exact"/>
        <w:jc w:val="center"/>
        <w:rPr>
          <w:rFonts w:ascii="黑体" w:hAnsi="黑体" w:eastAsia="黑体"/>
          <w:sz w:val="32"/>
          <w:szCs w:val="32"/>
        </w:rPr>
      </w:pPr>
      <w:r>
        <w:rPr>
          <w:rFonts w:hint="eastAsia" w:ascii="黑体" w:hAnsi="黑体" w:eastAsia="黑体" w:cs="黑体"/>
          <w:sz w:val="32"/>
          <w:szCs w:val="32"/>
        </w:rPr>
        <w:t xml:space="preserve">第三部分  </w:t>
      </w:r>
      <w:r>
        <w:rPr>
          <w:rFonts w:hint="eastAsia" w:ascii="黑体" w:hAnsi="黑体" w:eastAsia="黑体"/>
          <w:sz w:val="32"/>
          <w:szCs w:val="32"/>
        </w:rPr>
        <w:t>风险代理收费标准</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本所对接受委托的刑事诉讼案件、行政诉讼案件、国家赔偿案件、群体性诉讼案件、婚姻继承案件，以及请求给予社会保险待遇、最低生活保障待遇、赡养费、抚养费、扶养费、抚恤金、救济金、工伤赔偿、劳动报酬的案件，禁止实行或者变相实行风险代理收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十一、风险代理收费可以按照约定固定的金额收费，也可以按照委托人最终实现的债权或者减免的债务金额（以下简称“标的额”）的一定比例收费。</w:t>
      </w:r>
    </w:p>
    <w:p>
      <w:pPr>
        <w:pStyle w:val="2"/>
        <w:ind w:firstLine="640" w:firstLineChars="200"/>
      </w:pPr>
      <w:r>
        <w:rPr>
          <w:rFonts w:hint="eastAsia" w:ascii="仿宋_GB2312" w:hAnsi="仿宋_GB2312" w:eastAsia="仿宋_GB2312" w:cs="仿宋_GB2312"/>
          <w:szCs w:val="32"/>
        </w:rPr>
        <w:t>风险代理收费可以先收取基础服务费为</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rPr>
        <w:t>至</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rPr>
        <w:t>元</w:t>
      </w:r>
      <w:r>
        <w:rPr>
          <w:rFonts w:hint="eastAsia" w:ascii="仿宋_GB2312" w:hAnsi="仿宋_GB2312" w:eastAsia="仿宋_GB2312" w:cs="仿宋_GB231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所在风险代理的各个环节收取的律师服务费合计最高金额应当符合以下规定：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p>
    <w:p>
      <w:pPr>
        <w:spacing w:line="560" w:lineRule="exact"/>
        <w:ind w:firstLine="2560" w:firstLineChars="800"/>
        <w:rPr>
          <w:rFonts w:ascii="黑体" w:hAnsi="黑体" w:eastAsia="黑体" w:cs="黑体"/>
          <w:sz w:val="32"/>
          <w:szCs w:val="32"/>
        </w:rPr>
      </w:pPr>
    </w:p>
    <w:p>
      <w:pPr>
        <w:spacing w:line="560" w:lineRule="exact"/>
        <w:ind w:firstLine="2560" w:firstLineChars="800"/>
        <w:rPr>
          <w:rFonts w:ascii="黑体" w:hAnsi="黑体" w:eastAsia="黑体"/>
          <w:sz w:val="32"/>
          <w:szCs w:val="32"/>
        </w:rPr>
      </w:pPr>
      <w:r>
        <w:rPr>
          <w:rFonts w:hint="eastAsia" w:ascii="黑体" w:hAnsi="黑体" w:eastAsia="黑体" w:cs="黑体"/>
          <w:sz w:val="32"/>
          <w:szCs w:val="32"/>
        </w:rPr>
        <w:t xml:space="preserve">第四部分  </w:t>
      </w:r>
      <w:r>
        <w:rPr>
          <w:rFonts w:hint="eastAsia" w:ascii="黑体" w:hAnsi="黑体" w:eastAsia="黑体"/>
          <w:sz w:val="32"/>
          <w:szCs w:val="32"/>
        </w:rPr>
        <w:t>收费标准说明</w:t>
      </w:r>
    </w:p>
    <w:p>
      <w:pPr>
        <w:spacing w:line="560" w:lineRule="exact"/>
        <w:ind w:firstLine="640" w:firstLineChars="200"/>
        <w:rPr>
          <w:rFonts w:ascii="黑体" w:hAnsi="黑体" w:eastAsia="黑体" w:cs="黑体"/>
          <w:sz w:val="32"/>
          <w:szCs w:val="32"/>
        </w:rPr>
      </w:pP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十二、律师事务所提供法律服务过程中代委托人支付的诉讼费、仲裁费、鉴定费、公证费、查档费、保全费、翻译费、异地办案差旅费、专家论证费及其他费用，不属于律师服务费，由委托人另行支付。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十三、律师事务所为农民工、残疾人等弱势群体或者为公益活动提供法律服务的，可以酌情减免律师服务费。承办法律援助案件，不得向受援人收费。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十四、本标准中的“标的分段”“标的额分段”各段不含下限本数，含上限本数；“重大、疑难、复杂诉讼法律事务”按照《广东省律师事务所律师服务费标准制定指引（试行）》相关规定执行。</w:t>
      </w:r>
    </w:p>
    <w:p>
      <w:pPr>
        <w:pStyle w:val="2"/>
        <w:ind w:firstLine="640" w:firstLineChars="200"/>
      </w:pPr>
      <w:r>
        <w:rPr>
          <w:rFonts w:hint="eastAsia" w:ascii="仿宋_GB2312" w:hAnsi="仿宋_GB2312" w:eastAsia="仿宋_GB2312" w:cs="仿宋_GB2312"/>
          <w:szCs w:val="32"/>
        </w:rPr>
        <w:t>附件：本所律师对应收费标准关系表</w:t>
      </w:r>
      <w:r>
        <w:rPr>
          <w:rFonts w:hint="eastAsia" w:ascii="仿宋_GB2312" w:hAnsi="仿宋_GB2312" w:eastAsia="宋体" w:cs="Times New Roman"/>
          <w:szCs w:val="32"/>
        </w:rPr>
        <w:t>。</w:t>
      </w:r>
    </w:p>
    <w:sectPr>
      <w:headerReference r:id="rId3" w:type="default"/>
      <w:footerReference r:id="rId4" w:type="default"/>
      <w:pgSz w:w="11906" w:h="16838"/>
      <w:pgMar w:top="2098" w:right="1474" w:bottom="1984" w:left="1587" w:header="170" w:footer="1531"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Adobe 宋体 Std L">
    <w:altName w:val="宋体"/>
    <w:panose1 w:val="00000000000000000000"/>
    <w:charset w:val="86"/>
    <w:family w:val="auto"/>
    <w:pitch w:val="default"/>
    <w:sig w:usb0="00000000" w:usb1="00000000"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-143510</wp:posOffset>
              </wp:positionV>
              <wp:extent cx="1045845" cy="2965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4584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3pt;height:23.35pt;width:82.35pt;mso-position-horizontal:outside;mso-position-horizontal-relative:margin;z-index:251659264;mso-width-relative:page;mso-height-relative:page;" filled="f" stroked="f" coordsize="21600,21600" o:gfxdata="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e3vMNYAAAAHAQAADwAAAAAA&#10;AAABACAAAAAiAAAAZHJzL2Rvd25yZXYueG1sUEsBAhQAFAAAAAgAh07iQDI9hs8VAgAACgQAAA4A&#10;AAAAAAAAAQAgAAAAJQEAAGRycy9lMm9Eb2MueG1sUEsFBgAAAAAGAAYAWQEAAKwFAAAAAA==&#10;">
              <v:fill on="f" focussize="0,0"/>
              <v:stroke on="f" weight="0.5pt"/>
              <v:imagedata o:title=""/>
              <o:lock v:ext="edit" aspectratio="f"/>
              <v:textbox inset="0mm,0mm,0mm,0mm">
                <w:txbxContent>
                  <w:p>
                    <w:pPr>
                      <w:pStyle w:val="6"/>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ODNjMGI2OGMwMmM2YzkyODdiNmY1OTY5ZGEzZmEifQ=="/>
  </w:docVars>
  <w:rsids>
    <w:rsidRoot w:val="00C96977"/>
    <w:rsid w:val="000158DA"/>
    <w:rsid w:val="00026DFA"/>
    <w:rsid w:val="00030563"/>
    <w:rsid w:val="00031E0B"/>
    <w:rsid w:val="00055D4B"/>
    <w:rsid w:val="0006098C"/>
    <w:rsid w:val="0006394E"/>
    <w:rsid w:val="000C29C2"/>
    <w:rsid w:val="000D241A"/>
    <w:rsid w:val="000E5514"/>
    <w:rsid w:val="001027E8"/>
    <w:rsid w:val="00107B9D"/>
    <w:rsid w:val="00140443"/>
    <w:rsid w:val="00197D77"/>
    <w:rsid w:val="001A5C82"/>
    <w:rsid w:val="001C017F"/>
    <w:rsid w:val="001C5436"/>
    <w:rsid w:val="001D1EE8"/>
    <w:rsid w:val="001E5087"/>
    <w:rsid w:val="001F2B07"/>
    <w:rsid w:val="00223A85"/>
    <w:rsid w:val="00234C0B"/>
    <w:rsid w:val="0025495F"/>
    <w:rsid w:val="00266F17"/>
    <w:rsid w:val="00282747"/>
    <w:rsid w:val="00287755"/>
    <w:rsid w:val="002A42DA"/>
    <w:rsid w:val="002B2A1B"/>
    <w:rsid w:val="002C1BD9"/>
    <w:rsid w:val="002D391E"/>
    <w:rsid w:val="002D4187"/>
    <w:rsid w:val="002F6C25"/>
    <w:rsid w:val="00307BBA"/>
    <w:rsid w:val="003150DA"/>
    <w:rsid w:val="0032110F"/>
    <w:rsid w:val="0034315B"/>
    <w:rsid w:val="00364C2D"/>
    <w:rsid w:val="0037207F"/>
    <w:rsid w:val="0037237D"/>
    <w:rsid w:val="003A0FDC"/>
    <w:rsid w:val="003B013B"/>
    <w:rsid w:val="003F6CBB"/>
    <w:rsid w:val="00425E54"/>
    <w:rsid w:val="00430326"/>
    <w:rsid w:val="00440838"/>
    <w:rsid w:val="004515D0"/>
    <w:rsid w:val="00467818"/>
    <w:rsid w:val="004709BC"/>
    <w:rsid w:val="004930F5"/>
    <w:rsid w:val="00494248"/>
    <w:rsid w:val="004B3F3A"/>
    <w:rsid w:val="004C080C"/>
    <w:rsid w:val="004D00CB"/>
    <w:rsid w:val="004D52E9"/>
    <w:rsid w:val="004E2297"/>
    <w:rsid w:val="004E5F68"/>
    <w:rsid w:val="0051315B"/>
    <w:rsid w:val="00532CF3"/>
    <w:rsid w:val="00541287"/>
    <w:rsid w:val="00542675"/>
    <w:rsid w:val="00545214"/>
    <w:rsid w:val="005455FB"/>
    <w:rsid w:val="00552766"/>
    <w:rsid w:val="00564015"/>
    <w:rsid w:val="00564FDF"/>
    <w:rsid w:val="005713AE"/>
    <w:rsid w:val="00572A59"/>
    <w:rsid w:val="0058225C"/>
    <w:rsid w:val="00587243"/>
    <w:rsid w:val="005B05A4"/>
    <w:rsid w:val="005C39CF"/>
    <w:rsid w:val="005D1070"/>
    <w:rsid w:val="005E1DB5"/>
    <w:rsid w:val="005E28F0"/>
    <w:rsid w:val="005E2BA2"/>
    <w:rsid w:val="005E7676"/>
    <w:rsid w:val="005F6255"/>
    <w:rsid w:val="00606686"/>
    <w:rsid w:val="00655637"/>
    <w:rsid w:val="006561D6"/>
    <w:rsid w:val="00680285"/>
    <w:rsid w:val="006A37FD"/>
    <w:rsid w:val="006A39BB"/>
    <w:rsid w:val="006C1B2A"/>
    <w:rsid w:val="006F7FB8"/>
    <w:rsid w:val="0070095D"/>
    <w:rsid w:val="00715169"/>
    <w:rsid w:val="00715F73"/>
    <w:rsid w:val="007172DB"/>
    <w:rsid w:val="00753DD2"/>
    <w:rsid w:val="00776E75"/>
    <w:rsid w:val="0078195A"/>
    <w:rsid w:val="00783098"/>
    <w:rsid w:val="007944CE"/>
    <w:rsid w:val="007A53B7"/>
    <w:rsid w:val="007C00E0"/>
    <w:rsid w:val="007C120A"/>
    <w:rsid w:val="008011A2"/>
    <w:rsid w:val="00810320"/>
    <w:rsid w:val="00821717"/>
    <w:rsid w:val="0088168E"/>
    <w:rsid w:val="008A0C8D"/>
    <w:rsid w:val="008A6FE4"/>
    <w:rsid w:val="008D53E2"/>
    <w:rsid w:val="008D7C2B"/>
    <w:rsid w:val="008E3D1A"/>
    <w:rsid w:val="008F26D2"/>
    <w:rsid w:val="008F32CE"/>
    <w:rsid w:val="008F69C2"/>
    <w:rsid w:val="00910295"/>
    <w:rsid w:val="009507C2"/>
    <w:rsid w:val="009525BA"/>
    <w:rsid w:val="00993C13"/>
    <w:rsid w:val="009B2B9D"/>
    <w:rsid w:val="009B3BE2"/>
    <w:rsid w:val="009C1EA1"/>
    <w:rsid w:val="009D0493"/>
    <w:rsid w:val="009D263B"/>
    <w:rsid w:val="009E5A5F"/>
    <w:rsid w:val="009F35BC"/>
    <w:rsid w:val="00A1065E"/>
    <w:rsid w:val="00A129B7"/>
    <w:rsid w:val="00A21421"/>
    <w:rsid w:val="00A35D03"/>
    <w:rsid w:val="00A75D50"/>
    <w:rsid w:val="00A83A0E"/>
    <w:rsid w:val="00A8750B"/>
    <w:rsid w:val="00AD3803"/>
    <w:rsid w:val="00B03C0B"/>
    <w:rsid w:val="00B0566F"/>
    <w:rsid w:val="00B05705"/>
    <w:rsid w:val="00B242D4"/>
    <w:rsid w:val="00B273E3"/>
    <w:rsid w:val="00B4620A"/>
    <w:rsid w:val="00B6720B"/>
    <w:rsid w:val="00BD3F24"/>
    <w:rsid w:val="00BD5EFA"/>
    <w:rsid w:val="00BF4897"/>
    <w:rsid w:val="00C05B93"/>
    <w:rsid w:val="00C22C96"/>
    <w:rsid w:val="00C24483"/>
    <w:rsid w:val="00C264D7"/>
    <w:rsid w:val="00C26885"/>
    <w:rsid w:val="00C404C1"/>
    <w:rsid w:val="00C40853"/>
    <w:rsid w:val="00C53C66"/>
    <w:rsid w:val="00C65C5A"/>
    <w:rsid w:val="00C76C56"/>
    <w:rsid w:val="00C91485"/>
    <w:rsid w:val="00C94AE1"/>
    <w:rsid w:val="00C96977"/>
    <w:rsid w:val="00CA3753"/>
    <w:rsid w:val="00CA48DA"/>
    <w:rsid w:val="00CA4E44"/>
    <w:rsid w:val="00CA72F0"/>
    <w:rsid w:val="00CB1D8E"/>
    <w:rsid w:val="00CC720C"/>
    <w:rsid w:val="00CD0CFA"/>
    <w:rsid w:val="00CD76CD"/>
    <w:rsid w:val="00D05668"/>
    <w:rsid w:val="00D11B6A"/>
    <w:rsid w:val="00D20F25"/>
    <w:rsid w:val="00D43B49"/>
    <w:rsid w:val="00D6660D"/>
    <w:rsid w:val="00D74A9D"/>
    <w:rsid w:val="00D75A4C"/>
    <w:rsid w:val="00D92C6E"/>
    <w:rsid w:val="00DA2065"/>
    <w:rsid w:val="00DB61A8"/>
    <w:rsid w:val="00DC01B8"/>
    <w:rsid w:val="00DD4883"/>
    <w:rsid w:val="00DF38D1"/>
    <w:rsid w:val="00DF4129"/>
    <w:rsid w:val="00E0757B"/>
    <w:rsid w:val="00E1253A"/>
    <w:rsid w:val="00E374C0"/>
    <w:rsid w:val="00E765F3"/>
    <w:rsid w:val="00E82224"/>
    <w:rsid w:val="00E92996"/>
    <w:rsid w:val="00EA48CF"/>
    <w:rsid w:val="00EC5984"/>
    <w:rsid w:val="00ED24C3"/>
    <w:rsid w:val="00EE1CB0"/>
    <w:rsid w:val="00EE6911"/>
    <w:rsid w:val="00EF5A4E"/>
    <w:rsid w:val="00F118D6"/>
    <w:rsid w:val="00F40CF1"/>
    <w:rsid w:val="00F5455B"/>
    <w:rsid w:val="00F54784"/>
    <w:rsid w:val="00F60FDB"/>
    <w:rsid w:val="00F6366F"/>
    <w:rsid w:val="00F74078"/>
    <w:rsid w:val="00F911BE"/>
    <w:rsid w:val="00F93506"/>
    <w:rsid w:val="00F93996"/>
    <w:rsid w:val="00F96D82"/>
    <w:rsid w:val="00FA366D"/>
    <w:rsid w:val="00FA660E"/>
    <w:rsid w:val="00FA75AE"/>
    <w:rsid w:val="00FB2A9C"/>
    <w:rsid w:val="00FB2D1F"/>
    <w:rsid w:val="00FB4BC6"/>
    <w:rsid w:val="00FC7F1F"/>
    <w:rsid w:val="00FE097F"/>
    <w:rsid w:val="00FE5135"/>
    <w:rsid w:val="00FF289C"/>
    <w:rsid w:val="00FF373B"/>
    <w:rsid w:val="04571106"/>
    <w:rsid w:val="046B754F"/>
    <w:rsid w:val="04D94C4D"/>
    <w:rsid w:val="04FF67EA"/>
    <w:rsid w:val="05F9252B"/>
    <w:rsid w:val="077C42AC"/>
    <w:rsid w:val="078F4D1C"/>
    <w:rsid w:val="09D81979"/>
    <w:rsid w:val="0A246E4A"/>
    <w:rsid w:val="0A720E0C"/>
    <w:rsid w:val="0BDA29B3"/>
    <w:rsid w:val="0C041763"/>
    <w:rsid w:val="0C30591B"/>
    <w:rsid w:val="0D3B4516"/>
    <w:rsid w:val="0D567BFC"/>
    <w:rsid w:val="0EB27EE8"/>
    <w:rsid w:val="0F4E4408"/>
    <w:rsid w:val="109460F0"/>
    <w:rsid w:val="10D82376"/>
    <w:rsid w:val="10E175CF"/>
    <w:rsid w:val="11156410"/>
    <w:rsid w:val="11430573"/>
    <w:rsid w:val="120F27ED"/>
    <w:rsid w:val="12C119D3"/>
    <w:rsid w:val="12DA07A6"/>
    <w:rsid w:val="14256530"/>
    <w:rsid w:val="15357C2F"/>
    <w:rsid w:val="178E04C2"/>
    <w:rsid w:val="18130A2F"/>
    <w:rsid w:val="1895741E"/>
    <w:rsid w:val="18B81DFF"/>
    <w:rsid w:val="1ACF22B2"/>
    <w:rsid w:val="1AD80AAA"/>
    <w:rsid w:val="1B0B2060"/>
    <w:rsid w:val="1C051361"/>
    <w:rsid w:val="1C2200F2"/>
    <w:rsid w:val="1D4D20AF"/>
    <w:rsid w:val="21DC5487"/>
    <w:rsid w:val="220F6D3C"/>
    <w:rsid w:val="22FE018A"/>
    <w:rsid w:val="23B62D5B"/>
    <w:rsid w:val="240176D5"/>
    <w:rsid w:val="24425BC7"/>
    <w:rsid w:val="25341EA9"/>
    <w:rsid w:val="254B43FA"/>
    <w:rsid w:val="257A4A0F"/>
    <w:rsid w:val="25FA0187"/>
    <w:rsid w:val="26287F02"/>
    <w:rsid w:val="272124E0"/>
    <w:rsid w:val="28F376F6"/>
    <w:rsid w:val="298D2D53"/>
    <w:rsid w:val="2AFB3A4F"/>
    <w:rsid w:val="2BEB30C3"/>
    <w:rsid w:val="2C5E70BA"/>
    <w:rsid w:val="2C6F288B"/>
    <w:rsid w:val="2CAF33BF"/>
    <w:rsid w:val="2CFF6AE1"/>
    <w:rsid w:val="2F294BB4"/>
    <w:rsid w:val="2F426B61"/>
    <w:rsid w:val="2F4A5158"/>
    <w:rsid w:val="31B2432F"/>
    <w:rsid w:val="32363F3C"/>
    <w:rsid w:val="32A27B3C"/>
    <w:rsid w:val="32AC1DF1"/>
    <w:rsid w:val="32B54DC7"/>
    <w:rsid w:val="33BF4641"/>
    <w:rsid w:val="341A3E99"/>
    <w:rsid w:val="34D54555"/>
    <w:rsid w:val="34F713B4"/>
    <w:rsid w:val="3656413E"/>
    <w:rsid w:val="388B5183"/>
    <w:rsid w:val="392D3056"/>
    <w:rsid w:val="397B7803"/>
    <w:rsid w:val="3981218D"/>
    <w:rsid w:val="3A0D02E2"/>
    <w:rsid w:val="3C720856"/>
    <w:rsid w:val="3CFA23BD"/>
    <w:rsid w:val="3F787FB7"/>
    <w:rsid w:val="428B574A"/>
    <w:rsid w:val="44294921"/>
    <w:rsid w:val="45D8554B"/>
    <w:rsid w:val="46203284"/>
    <w:rsid w:val="468B6898"/>
    <w:rsid w:val="48650B72"/>
    <w:rsid w:val="49D93851"/>
    <w:rsid w:val="4A032DB5"/>
    <w:rsid w:val="4A5E583C"/>
    <w:rsid w:val="4A6038CD"/>
    <w:rsid w:val="4A945892"/>
    <w:rsid w:val="4C197CCD"/>
    <w:rsid w:val="4C58366D"/>
    <w:rsid w:val="4F283943"/>
    <w:rsid w:val="4FC366CC"/>
    <w:rsid w:val="53564299"/>
    <w:rsid w:val="54FD781D"/>
    <w:rsid w:val="550F12FB"/>
    <w:rsid w:val="55947581"/>
    <w:rsid w:val="55B13D45"/>
    <w:rsid w:val="56080BF0"/>
    <w:rsid w:val="578929D3"/>
    <w:rsid w:val="580B7AFF"/>
    <w:rsid w:val="585F2EAA"/>
    <w:rsid w:val="58B75AC0"/>
    <w:rsid w:val="59553AD8"/>
    <w:rsid w:val="5B791FD7"/>
    <w:rsid w:val="5BD2706A"/>
    <w:rsid w:val="5CAB51F5"/>
    <w:rsid w:val="5E694A3D"/>
    <w:rsid w:val="5E90454B"/>
    <w:rsid w:val="5F1B6AEF"/>
    <w:rsid w:val="61B679FD"/>
    <w:rsid w:val="61F72464"/>
    <w:rsid w:val="65FA53AE"/>
    <w:rsid w:val="66E36CD3"/>
    <w:rsid w:val="68495B76"/>
    <w:rsid w:val="68DD5DFB"/>
    <w:rsid w:val="69FB590E"/>
    <w:rsid w:val="6AFF4D3E"/>
    <w:rsid w:val="6B7D2ACD"/>
    <w:rsid w:val="6B7F4BB3"/>
    <w:rsid w:val="6BA960D2"/>
    <w:rsid w:val="6C8629D9"/>
    <w:rsid w:val="6CBA29B0"/>
    <w:rsid w:val="6F314C1C"/>
    <w:rsid w:val="6F3F431D"/>
    <w:rsid w:val="6F9B2231"/>
    <w:rsid w:val="701E60E7"/>
    <w:rsid w:val="711D7998"/>
    <w:rsid w:val="71C17D9D"/>
    <w:rsid w:val="733B50CC"/>
    <w:rsid w:val="738415D3"/>
    <w:rsid w:val="73C44BE6"/>
    <w:rsid w:val="74392783"/>
    <w:rsid w:val="74AA5B23"/>
    <w:rsid w:val="74E12570"/>
    <w:rsid w:val="75D86D24"/>
    <w:rsid w:val="77212A0B"/>
    <w:rsid w:val="77B35F76"/>
    <w:rsid w:val="77C24F30"/>
    <w:rsid w:val="79473673"/>
    <w:rsid w:val="7A563977"/>
    <w:rsid w:val="7A83768D"/>
    <w:rsid w:val="7B295030"/>
    <w:rsid w:val="7C2714BE"/>
    <w:rsid w:val="7EA416F7"/>
    <w:rsid w:val="7EFA6B8B"/>
    <w:rsid w:val="7FB25AE6"/>
    <w:rsid w:val="7FB71C75"/>
    <w:rsid w:val="7FC4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annotation text"/>
    <w:basedOn w:val="1"/>
    <w:link w:val="20"/>
    <w:unhideWhenUsed/>
    <w:qFormat/>
    <w:uiPriority w:val="0"/>
    <w:pPr>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10"/>
    <w:pPr>
      <w:spacing w:before="240" w:after="60"/>
      <w:jc w:val="center"/>
      <w:outlineLvl w:val="0"/>
    </w:pPr>
    <w:rPr>
      <w:rFonts w:ascii="等线 Light" w:hAnsi="等线 Light" w:eastAsia="等线 Light" w:cs="宋体"/>
      <w:b/>
      <w:bCs/>
      <w:sz w:val="32"/>
      <w:szCs w:val="32"/>
    </w:rPr>
  </w:style>
  <w:style w:type="paragraph" w:styleId="10">
    <w:name w:val="annotation subject"/>
    <w:basedOn w:val="5"/>
    <w:next w:val="5"/>
    <w:link w:val="21"/>
    <w:unhideWhenUsed/>
    <w:qFormat/>
    <w:uiPriority w:val="99"/>
    <w:rPr>
      <w:b/>
      <w:bCs/>
    </w:rPr>
  </w:style>
  <w:style w:type="character" w:styleId="13">
    <w:name w:val="annotation reference"/>
    <w:basedOn w:val="12"/>
    <w:unhideWhenUsed/>
    <w:qFormat/>
    <w:uiPriority w:val="0"/>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customStyle="1" w:styleId="16">
    <w:name w:val="列表段落1"/>
    <w:basedOn w:val="1"/>
    <w:qFormat/>
    <w:uiPriority w:val="34"/>
    <w:pPr>
      <w:ind w:firstLine="420" w:firstLineChars="200"/>
    </w:pPr>
  </w:style>
  <w:style w:type="paragraph" w:customStyle="1" w:styleId="17">
    <w:name w:val="第一标题"/>
    <w:basedOn w:val="18"/>
    <w:qFormat/>
    <w:uiPriority w:val="99"/>
    <w:pPr>
      <w:spacing w:after="227" w:line="360" w:lineRule="atLeast"/>
      <w:jc w:val="center"/>
    </w:pPr>
    <w:rPr>
      <w:rFonts w:ascii="华文中宋" w:eastAsia="华文中宋" w:cs="华文中宋"/>
      <w:sz w:val="36"/>
      <w:szCs w:val="36"/>
    </w:rPr>
  </w:style>
  <w:style w:type="paragraph" w:customStyle="1" w:styleId="18">
    <w:name w:val="[无段落样式]"/>
    <w:qFormat/>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sz w:val="24"/>
      <w:szCs w:val="24"/>
      <w:lang w:val="zh-CN" w:eastAsia="zh-CN" w:bidi="ar-SA"/>
    </w:rPr>
  </w:style>
  <w:style w:type="paragraph" w:customStyle="1" w:styleId="19">
    <w:name w:val="内文"/>
    <w:basedOn w:val="18"/>
    <w:qFormat/>
    <w:uiPriority w:val="99"/>
    <w:pPr>
      <w:spacing w:line="426" w:lineRule="atLeast"/>
      <w:ind w:firstLine="454"/>
    </w:pPr>
    <w:rPr>
      <w:sz w:val="22"/>
      <w:szCs w:val="22"/>
    </w:rPr>
  </w:style>
  <w:style w:type="character" w:customStyle="1" w:styleId="20">
    <w:name w:val="批注文字 字符"/>
    <w:basedOn w:val="12"/>
    <w:link w:val="5"/>
    <w:qFormat/>
    <w:uiPriority w:val="0"/>
    <w:rPr>
      <w:kern w:val="2"/>
      <w:sz w:val="21"/>
      <w:szCs w:val="22"/>
    </w:rPr>
  </w:style>
  <w:style w:type="character" w:customStyle="1" w:styleId="21">
    <w:name w:val="批注主题 字符"/>
    <w:basedOn w:val="20"/>
    <w:link w:val="10"/>
    <w:semiHidden/>
    <w:qFormat/>
    <w:uiPriority w:val="99"/>
    <w:rPr>
      <w:b/>
      <w:bCs/>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列表段落11"/>
    <w:basedOn w:val="1"/>
    <w:qFormat/>
    <w:uiPriority w:val="34"/>
    <w:pPr>
      <w:ind w:firstLine="420" w:firstLineChars="200"/>
    </w:pPr>
    <w:rPr>
      <w:szCs w:val="24"/>
    </w:rPr>
  </w:style>
  <w:style w:type="paragraph" w:customStyle="1" w:styleId="2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682</Words>
  <Characters>3890</Characters>
  <Lines>32</Lines>
  <Paragraphs>9</Paragraphs>
  <TotalTime>0</TotalTime>
  <ScaleCrop>false</ScaleCrop>
  <LinksUpToDate>false</LinksUpToDate>
  <CharactersWithSpaces>4563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2022-07-06T15:09:00Z</dcterms:created>
  <dc:creator>何婉琳</dc:creator>
  <cp:lastModifiedBy>姚淑芬(财务部)</cp:lastModifiedBy>
  <cp:lastPrinted>2022-03-15T10:57:00Z</cp:lastPrinted>
  <dcterms:modified xsi:type="dcterms:W3CDTF">2022-08-01T09:52:08Z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B5D7EE89BA914A03A140AB772E15FF32</vt:lpwstr>
  </property>
</Properties>
</file>