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sz w:val="32"/>
          <w:szCs w:val="32"/>
        </w:rPr>
      </w:pPr>
      <w:r>
        <w:rPr>
          <w:rFonts w:hint="eastAsia" w:ascii="黑体" w:hAnsi="黑体" w:eastAsia="黑体" w:cs="黑体"/>
          <w:sz w:val="32"/>
          <w:szCs w:val="32"/>
        </w:rPr>
        <w:t>附件4</w:t>
      </w:r>
    </w:p>
    <w:p>
      <w:pPr>
        <w:spacing w:line="60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签订风险代理委托合同告知书</w:t>
      </w:r>
    </w:p>
    <w:p>
      <w:pPr>
        <w:spacing w:line="560" w:lineRule="exact"/>
        <w:jc w:val="center"/>
        <w:rPr>
          <w:rFonts w:ascii="楷体" w:hAnsi="楷体" w:eastAsia="楷体" w:cs="楷体"/>
          <w:sz w:val="32"/>
          <w:szCs w:val="32"/>
        </w:rPr>
      </w:pPr>
      <w:r>
        <w:rPr>
          <w:rFonts w:hint="eastAsia" w:ascii="楷体" w:hAnsi="楷体" w:eastAsia="楷体" w:cs="楷体"/>
          <w:sz w:val="32"/>
          <w:szCs w:val="32"/>
        </w:rPr>
        <w:t>（本告知书是风险代理合同的组成部分，请委托人在签订风险代理委托合同之前阅读）</w:t>
      </w:r>
    </w:p>
    <w:p>
      <w:pPr>
        <w:spacing w:line="60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征求意见稿）</w:t>
      </w:r>
    </w:p>
    <w:p>
      <w:pPr>
        <w:spacing w:line="560" w:lineRule="exact"/>
        <w:rPr>
          <w:rFonts w:ascii="楷体" w:hAnsi="楷体" w:eastAsia="楷体" w:cs="楷体"/>
          <w:sz w:val="32"/>
          <w:szCs w:val="32"/>
        </w:rPr>
      </w:pPr>
    </w:p>
    <w:p>
      <w:pPr>
        <w:spacing w:line="560" w:lineRule="exact"/>
        <w:rPr>
          <w:rFonts w:ascii="黑体" w:hAnsi="黑体" w:eastAsia="黑体" w:cs="黑体"/>
          <w:sz w:val="32"/>
          <w:szCs w:val="32"/>
        </w:rPr>
      </w:pPr>
      <w:r>
        <w:rPr>
          <w:rFonts w:hint="eastAsia" w:ascii="黑体" w:hAnsi="黑体" w:eastAsia="黑体" w:cs="黑体"/>
          <w:sz w:val="32"/>
          <w:szCs w:val="32"/>
        </w:rPr>
        <w:t>委托人：</w:t>
      </w:r>
    </w:p>
    <w:p>
      <w:pPr>
        <w:spacing w:line="560" w:lineRule="exact"/>
        <w:ind w:left="17" w:leftChars="8" w:firstLine="617" w:firstLineChars="193"/>
        <w:rPr>
          <w:rFonts w:ascii="仿宋_GB2312" w:hAnsi="仿宋_GB2312" w:eastAsia="仿宋_GB2312" w:cs="仿宋_GB2312"/>
          <w:sz w:val="32"/>
          <w:szCs w:val="32"/>
        </w:rPr>
      </w:pPr>
      <w:r>
        <w:rPr>
          <w:rFonts w:hint="eastAsia" w:ascii="仿宋_GB2312" w:hAnsi="仿宋_GB2312" w:eastAsia="仿宋_GB2312" w:cs="仿宋_GB2312"/>
          <w:sz w:val="32"/>
          <w:szCs w:val="32"/>
        </w:rPr>
        <w:t>您即将签订的委托代理合同（以下称本合同）属于含有风险代理收费内容的委托合同，_____________律师事务所特告知如下事项：</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一、本合同是风险代理收费的委托合同。</w:t>
      </w:r>
    </w:p>
    <w:p>
      <w:pPr>
        <w:pStyle w:val="14"/>
        <w:numPr>
          <w:ilvl w:val="0"/>
          <w:numId w:val="1"/>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风险代理收费是指律师事务所在接受委托时先收取部分基础费用或者不收取基础费用，其余律师服务费由律师事务所与委托人就委托服务事项应实现的目标、效果和支付律师服务费的时间、比例、条件等先行约定，达到约定条件的，按约定支付风险费用；没有达到约定条件的，按约定不再支付相应风险费用。</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三、委托服务事项属于下列情形之一的，不得进行风险代理：</w:t>
      </w:r>
    </w:p>
    <w:p>
      <w:pPr>
        <w:pStyle w:val="14"/>
        <w:numPr>
          <w:ilvl w:val="1"/>
          <w:numId w:val="2"/>
        </w:numPr>
        <w:spacing w:line="560"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刑事诉讼案件；</w:t>
      </w:r>
    </w:p>
    <w:p>
      <w:pPr>
        <w:pStyle w:val="14"/>
        <w:numPr>
          <w:ilvl w:val="1"/>
          <w:numId w:val="2"/>
        </w:numPr>
        <w:spacing w:line="560"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行政诉讼案件；</w:t>
      </w:r>
    </w:p>
    <w:p>
      <w:pPr>
        <w:pStyle w:val="14"/>
        <w:numPr>
          <w:ilvl w:val="1"/>
          <w:numId w:val="2"/>
        </w:numPr>
        <w:spacing w:line="560"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国家赔偿案件；</w:t>
      </w:r>
    </w:p>
    <w:p>
      <w:pPr>
        <w:pStyle w:val="14"/>
        <w:numPr>
          <w:ilvl w:val="1"/>
          <w:numId w:val="2"/>
        </w:numPr>
        <w:spacing w:line="560"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群体性诉讼案件；</w:t>
      </w:r>
    </w:p>
    <w:p>
      <w:pPr>
        <w:pStyle w:val="14"/>
        <w:numPr>
          <w:ilvl w:val="1"/>
          <w:numId w:val="2"/>
        </w:numPr>
        <w:spacing w:line="560"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婚姻继承案件；</w:t>
      </w:r>
    </w:p>
    <w:p>
      <w:pPr>
        <w:pStyle w:val="14"/>
        <w:numPr>
          <w:ilvl w:val="1"/>
          <w:numId w:val="2"/>
        </w:numPr>
        <w:spacing w:line="560"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请求给予社会保险待遇、最低生活保障待遇、赡养费、抚养费、扶养费、抚恤金、救济金、工伤赔偿、劳动报酬的案件；</w:t>
      </w:r>
    </w:p>
    <w:p>
      <w:pPr>
        <w:pStyle w:val="14"/>
        <w:numPr>
          <w:ilvl w:val="1"/>
          <w:numId w:val="2"/>
        </w:numPr>
        <w:spacing w:line="560"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法律、行政法规、地方性法规、规章等规定的其他不得风险代理收费的法律事务。</w:t>
      </w:r>
    </w:p>
    <w:p>
      <w:pPr>
        <w:pStyle w:val="14"/>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四、本合同是风险代理收费合同，根据司法部、国家发展和改革委员会及国家市场监督管理总局的相关规定，无论采用固定金额收费还是按照委托人</w:t>
      </w:r>
      <w:r>
        <w:rPr>
          <w:rFonts w:ascii="Times New Roman" w:hAnsi="Times New Roman" w:eastAsia="仿宋_GB2312" w:cs="Times New Roman"/>
          <w:sz w:val="32"/>
          <w:szCs w:val="32"/>
        </w:rPr>
        <w:t>最终实现的债权或者减免的债务金额（以下</w:t>
      </w:r>
      <w:r>
        <w:rPr>
          <w:rFonts w:hint="eastAsia" w:ascii="Times New Roman" w:hAnsi="Times New Roman" w:eastAsia="仿宋_GB2312" w:cs="Times New Roman"/>
          <w:sz w:val="32"/>
          <w:szCs w:val="32"/>
        </w:rPr>
        <w:t>称为</w:t>
      </w:r>
      <w:r>
        <w:rPr>
          <w:rFonts w:ascii="Times New Roman" w:hAnsi="Times New Roman" w:eastAsia="仿宋_GB2312" w:cs="Times New Roman"/>
          <w:sz w:val="32"/>
          <w:szCs w:val="32"/>
        </w:rPr>
        <w:t>“标的额”）</w:t>
      </w:r>
      <w:r>
        <w:rPr>
          <w:rFonts w:hint="eastAsia" w:ascii="仿宋_GB2312" w:hAnsi="仿宋_GB2312" w:eastAsia="仿宋_GB2312" w:cs="仿宋_GB2312"/>
          <w:sz w:val="32"/>
          <w:szCs w:val="32"/>
        </w:rPr>
        <w:t>的一定比例收费，</w:t>
      </w:r>
      <w:r>
        <w:rPr>
          <w:rFonts w:ascii="Times New Roman" w:hAnsi="Times New Roman" w:eastAsia="仿宋_GB2312" w:cs="Times New Roman"/>
          <w:sz w:val="32"/>
          <w:szCs w:val="32"/>
        </w:rPr>
        <w:t>律师事务所在风险代理各个环节收取的律师服务费</w:t>
      </w:r>
      <w:r>
        <w:rPr>
          <w:rFonts w:hint="eastAsia" w:ascii="Times New Roman" w:hAnsi="Times New Roman" w:eastAsia="仿宋_GB2312" w:cs="Times New Roman"/>
          <w:sz w:val="32"/>
          <w:szCs w:val="32"/>
        </w:rPr>
        <w:t>（包括基础费用在内）</w:t>
      </w:r>
      <w:r>
        <w:rPr>
          <w:rFonts w:ascii="Times New Roman" w:hAnsi="Times New Roman" w:eastAsia="仿宋_GB2312" w:cs="Times New Roman"/>
          <w:sz w:val="32"/>
          <w:szCs w:val="32"/>
        </w:rPr>
        <w:t>合计最高金额应当符合下列规定</w:t>
      </w:r>
      <w:r>
        <w:rPr>
          <w:rFonts w:hint="eastAsia" w:ascii="仿宋_GB2312" w:hAnsi="仿宋_GB2312" w:eastAsia="仿宋_GB2312" w:cs="仿宋_GB2312"/>
          <w:sz w:val="32"/>
          <w:szCs w:val="32"/>
        </w:rPr>
        <w:t>：</w:t>
      </w:r>
    </w:p>
    <w:p>
      <w:pPr>
        <w:pStyle w:val="14"/>
        <w:numPr>
          <w:ilvl w:val="1"/>
          <w:numId w:val="3"/>
        </w:numPr>
        <w:spacing w:line="560"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标的额不足人民币100万元的部分，不得超过标的额的18%；</w:t>
      </w:r>
    </w:p>
    <w:p>
      <w:pPr>
        <w:pStyle w:val="14"/>
        <w:numPr>
          <w:ilvl w:val="1"/>
          <w:numId w:val="3"/>
        </w:numPr>
        <w:spacing w:line="560"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标的额在人民币100万元以上不足500万元的部分，不得超过标的额的15%；</w:t>
      </w:r>
    </w:p>
    <w:p>
      <w:pPr>
        <w:pStyle w:val="14"/>
        <w:numPr>
          <w:ilvl w:val="1"/>
          <w:numId w:val="3"/>
        </w:numPr>
        <w:spacing w:line="560"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标的额在人民币500万元以上不足1000万元的部分，不得超过标的额的12%；</w:t>
      </w:r>
    </w:p>
    <w:p>
      <w:pPr>
        <w:pStyle w:val="14"/>
        <w:numPr>
          <w:ilvl w:val="1"/>
          <w:numId w:val="3"/>
        </w:numPr>
        <w:spacing w:line="560"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标的额在人民币1000万元以上不足5000万元的部分，不得超过标的额的9%；</w:t>
      </w:r>
    </w:p>
    <w:p>
      <w:pPr>
        <w:pStyle w:val="14"/>
        <w:numPr>
          <w:ilvl w:val="1"/>
          <w:numId w:val="3"/>
        </w:numPr>
        <w:spacing w:line="560" w:lineRule="exact"/>
        <w:ind w:left="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标的额在人民币5000万元以上的部分，不得超过标的额的6%。</w:t>
      </w:r>
    </w:p>
    <w:p>
      <w:pPr>
        <w:pStyle w:val="14"/>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五、律师事务所提供了本合同约</w:t>
      </w:r>
      <w:bookmarkStart w:id="0" w:name="_GoBack"/>
      <w:bookmarkEnd w:id="0"/>
      <w:r>
        <w:rPr>
          <w:rFonts w:hint="eastAsia" w:ascii="仿宋_GB2312" w:hAnsi="仿宋_GB2312" w:eastAsia="仿宋_GB2312" w:cs="仿宋_GB2312"/>
          <w:sz w:val="32"/>
          <w:szCs w:val="32"/>
        </w:rPr>
        <w:t>定的法律服务，且合同约定的/希望达到的委托目标或者效果已经达到时，委托人与律师事务所应根据委托目标或者效果达成情况和本合同约定进行风险代理律师服务费结算。</w:t>
      </w:r>
    </w:p>
    <w:p>
      <w:pPr>
        <w:spacing w:line="560" w:lineRule="exact"/>
        <w:ind w:left="17" w:leftChars="8" w:firstLine="617" w:firstLineChars="193"/>
        <w:rPr>
          <w:rFonts w:ascii="仿宋_GB2312" w:hAnsi="仿宋_GB2312" w:eastAsia="仿宋_GB2312" w:cs="仿宋_GB2312"/>
          <w:sz w:val="32"/>
          <w:szCs w:val="32"/>
        </w:rPr>
      </w:pPr>
      <w:r>
        <w:rPr>
          <w:rFonts w:hint="eastAsia" w:ascii="仿宋_GB2312" w:hAnsi="仿宋_GB2312" w:eastAsia="仿宋_GB2312" w:cs="仿宋_GB2312"/>
          <w:sz w:val="32"/>
          <w:szCs w:val="32"/>
        </w:rPr>
        <w:t>六、所有委托办理的法律服务事项均存在法律风险。诉讼或者仲裁请求及抗辩理由均存在部分、全部被驳回或者不被支持的可能，非诉讼法律服务事项也存在不能达到委托人所期望目标的可能。</w:t>
      </w:r>
    </w:p>
    <w:p>
      <w:pPr>
        <w:spacing w:line="560" w:lineRule="exact"/>
        <w:ind w:left="17" w:leftChars="8" w:firstLine="617" w:firstLineChars="193"/>
        <w:rPr>
          <w:rFonts w:ascii="仿宋_GB2312" w:hAnsi="仿宋_GB2312" w:eastAsia="仿宋_GB2312" w:cs="仿宋_GB2312"/>
          <w:sz w:val="32"/>
          <w:szCs w:val="32"/>
        </w:rPr>
      </w:pPr>
      <w:r>
        <w:rPr>
          <w:rFonts w:hint="eastAsia" w:ascii="仿宋_GB2312" w:hAnsi="仿宋_GB2312" w:eastAsia="仿宋_GB2312" w:cs="仿宋_GB2312"/>
          <w:sz w:val="32"/>
          <w:szCs w:val="32"/>
        </w:rPr>
        <w:t>起诉状、仲裁申请书或者答辩状中的请求、抗辩，及双方在本合同约定的服务事项等内容，是委托人与律师事务所期望达成的目标。在目标未能达成时，委托人将承担败诉、部分败诉或者债权未实现（或部分未实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债务未减免（或部分未减免）等风险，律师事务所也将因此并根据委托合同的约定无权收取风险代理的全部或者部分律师服务费。</w:t>
      </w:r>
    </w:p>
    <w:p>
      <w:pPr>
        <w:spacing w:line="560" w:lineRule="exact"/>
        <w:ind w:left="17" w:leftChars="8" w:firstLine="617" w:firstLineChars="193"/>
        <w:rPr>
          <w:rFonts w:ascii="仿宋_GB2312" w:hAnsi="仿宋_GB2312" w:eastAsia="仿宋_GB2312" w:cs="仿宋_GB2312"/>
          <w:sz w:val="32"/>
          <w:szCs w:val="32"/>
        </w:rPr>
      </w:pPr>
      <w:r>
        <w:rPr>
          <w:rFonts w:hint="eastAsia" w:ascii="仿宋_GB2312" w:hAnsi="仿宋_GB2312" w:eastAsia="仿宋_GB2312" w:cs="仿宋_GB2312"/>
          <w:sz w:val="32"/>
          <w:szCs w:val="32"/>
        </w:rPr>
        <w:t>七、承办律师不得向委托人明示或者暗示与司法机关、仲裁机构及其工作人员有特殊关系，更不得以向司法人员、仲裁员疏通关系等为由收取所谓的“办案费”“顾问费”等任何其他费用。</w:t>
      </w:r>
    </w:p>
    <w:p>
      <w:pPr>
        <w:spacing w:line="560" w:lineRule="exact"/>
        <w:ind w:left="17" w:leftChars="8" w:firstLine="617" w:firstLineChars="193"/>
        <w:rPr>
          <w:rFonts w:eastAsia="宋体"/>
        </w:rPr>
      </w:pPr>
      <w:r>
        <w:rPr>
          <w:rFonts w:hint="eastAsia" w:ascii="仿宋_GB2312" w:hAnsi="仿宋_GB2312" w:eastAsia="仿宋_GB2312" w:cs="仿宋_GB2312"/>
          <w:sz w:val="32"/>
          <w:szCs w:val="32"/>
        </w:rPr>
        <w:t>八、律师服务费和办案费由律师事务所统一收取。律师个人不得向委托人收取任何费用。律师事务所收取律师服务费，必须使用税务部门规定的合法票据。委托人向律师事务所支付律师服务费后，律师事务所应当向委托人出具合法票据。</w:t>
      </w:r>
    </w:p>
    <w:p>
      <w:pPr>
        <w:spacing w:line="560" w:lineRule="exact"/>
        <w:ind w:left="17" w:leftChars="8" w:firstLine="617" w:firstLineChars="193"/>
        <w:rPr>
          <w:rFonts w:ascii="仿宋_GB2312" w:hAnsi="仿宋_GB2312" w:eastAsia="仿宋_GB2312" w:cs="仿宋_GB2312"/>
          <w:sz w:val="32"/>
          <w:szCs w:val="32"/>
        </w:rPr>
      </w:pPr>
      <w:r>
        <w:rPr>
          <w:rFonts w:hint="eastAsia" w:ascii="仿宋_GB2312" w:hAnsi="仿宋_GB2312" w:eastAsia="仿宋_GB2312" w:cs="仿宋_GB2312"/>
          <w:sz w:val="32"/>
          <w:szCs w:val="32"/>
        </w:rPr>
        <w:t>委托人委托律师事务所或者承办律师代付的诉讼费、仲裁费、鉴定费等相关第三方费用，或者支出的异地办案差旅费等，律师事务所或者承办律师应当主动提供有效凭证。</w:t>
      </w:r>
    </w:p>
    <w:p>
      <w:pPr>
        <w:spacing w:line="560" w:lineRule="exact"/>
        <w:ind w:firstLine="640" w:firstLineChars="200"/>
        <w:rPr>
          <w:rFonts w:ascii="黑体" w:hAnsi="黑体" w:eastAsia="黑体"/>
          <w:sz w:val="32"/>
          <w:szCs w:val="32"/>
        </w:rPr>
      </w:pPr>
      <w:r>
        <w:rPr>
          <w:rFonts w:ascii="黑体" w:hAnsi="黑体" w:eastAsia="黑体"/>
          <w:sz w:val="32"/>
          <w:szCs w:val="32"/>
        </w:rPr>
        <w:t>请</w:t>
      </w:r>
      <w:r>
        <w:rPr>
          <w:rFonts w:hint="eastAsia" w:ascii="黑体" w:hAnsi="黑体" w:eastAsia="黑体"/>
          <w:sz w:val="32"/>
          <w:szCs w:val="32"/>
        </w:rPr>
        <w:t>委托人在确定已充分了解上述内容后才签订委托代理合同，否则委托人有权拒绝签订委托代理合同。</w:t>
      </w:r>
    </w:p>
    <w:p>
      <w:pPr>
        <w:pStyle w:val="3"/>
      </w:pPr>
    </w:p>
    <w:p>
      <w:pPr>
        <w:spacing w:line="560" w:lineRule="exact"/>
        <w:ind w:firstLine="643" w:firstLineChars="200"/>
        <w:rPr>
          <w:sz w:val="28"/>
          <w:szCs w:val="28"/>
        </w:rPr>
      </w:pPr>
      <w:r>
        <w:rPr>
          <w:rFonts w:hint="eastAsia" w:ascii="仿宋_GB2312" w:hAnsi="仿宋_GB2312" w:eastAsia="仿宋_GB2312" w:cs="仿宋_GB2312"/>
          <w:b/>
          <w:sz w:val="32"/>
          <w:szCs w:val="32"/>
        </w:rPr>
        <w:t>委托人确认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承办律师已告知我方上述事项，我方已充分了解告知书中所告知、提示的全部内容。</w:t>
      </w:r>
    </w:p>
    <w:p/>
    <w:p>
      <w:pPr>
        <w:pStyle w:val="2"/>
        <w:ind w:firstLine="5120" w:firstLineChars="1600"/>
        <w:rPr>
          <w:rFonts w:ascii="仿宋_GB2312" w:hAnsi="仿宋_GB2312" w:eastAsia="仿宋_GB2312" w:cs="仿宋_GB2312"/>
          <w:szCs w:val="32"/>
        </w:rPr>
      </w:pPr>
      <w:r>
        <w:rPr>
          <w:rFonts w:hint="eastAsia" w:ascii="仿宋_GB2312" w:hAnsi="仿宋_GB2312" w:eastAsia="仿宋_GB2312" w:cs="仿宋_GB2312"/>
          <w:szCs w:val="32"/>
        </w:rPr>
        <w:t>委托人签名或者盖章：</w:t>
      </w:r>
    </w:p>
    <w:p>
      <w:pPr>
        <w:spacing w:line="56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p>
    <w:sectPr>
      <w:footerReference r:id="rId3" w:type="default"/>
      <w:pgSz w:w="11906" w:h="16838"/>
      <w:pgMar w:top="1984" w:right="1587" w:bottom="2098" w:left="1474" w:header="851"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lang w:val="zh-CN"/>
      </w:rPr>
      <w:t xml:space="preserve"> </w:t>
    </w:r>
    <w:r>
      <w:fldChar w:fldCharType="begin"/>
    </w:r>
    <w:r>
      <w:instrText xml:space="preserve">PAGE  \* Arabic  \* MERGEFORMAT</w:instrText>
    </w:r>
    <w:r>
      <w:fldChar w:fldCharType="separate"/>
    </w:r>
    <w:r>
      <w:rPr>
        <w:lang w:val="zh-CN"/>
      </w:rPr>
      <w:t>1</w:t>
    </w:r>
    <w:r>
      <w:fldChar w:fldCharType="end"/>
    </w:r>
    <w:r>
      <w:rPr>
        <w:lang w:val="zh-CN"/>
      </w:rPr>
      <w:t xml:space="preserve"> / </w:t>
    </w:r>
    <w:r>
      <w:fldChar w:fldCharType="begin"/>
    </w:r>
    <w:r>
      <w:instrText xml:space="preserve">NUMPAGES  \* Arabic  \* MERGEFORMAT</w:instrText>
    </w:r>
    <w:r>
      <w:fldChar w:fldCharType="separate"/>
    </w:r>
    <w:r>
      <w:rPr>
        <w:lang w:val="zh-CN"/>
      </w:rPr>
      <w:t>12</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D35A4"/>
    <w:multiLevelType w:val="singleLevel"/>
    <w:tmpl w:val="B65D35A4"/>
    <w:lvl w:ilvl="0" w:tentative="0">
      <w:start w:val="2"/>
      <w:numFmt w:val="chineseCounting"/>
      <w:suff w:val="nothing"/>
      <w:lvlText w:val="%1、"/>
      <w:lvlJc w:val="left"/>
      <w:rPr>
        <w:rFonts w:hint="eastAsia"/>
      </w:rPr>
    </w:lvl>
  </w:abstractNum>
  <w:abstractNum w:abstractNumId="1">
    <w:nsid w:val="781C2735"/>
    <w:multiLevelType w:val="multilevel"/>
    <w:tmpl w:val="781C2735"/>
    <w:lvl w:ilvl="0" w:tentative="0">
      <w:start w:val="1"/>
      <w:numFmt w:val="japaneseCounting"/>
      <w:lvlText w:val="（%1）"/>
      <w:lvlJc w:val="left"/>
      <w:pPr>
        <w:ind w:left="1060" w:hanging="420"/>
      </w:pPr>
      <w:rPr>
        <w:rFonts w:hint="default"/>
      </w:rPr>
    </w:lvl>
    <w:lvl w:ilvl="1" w:tentative="0">
      <w:start w:val="1"/>
      <w:numFmt w:val="japaneseCounting"/>
      <w:lvlText w:val="（%2）"/>
      <w:lvlJc w:val="left"/>
      <w:pPr>
        <w:ind w:left="1480" w:hanging="420"/>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7EF70BF9"/>
    <w:multiLevelType w:val="multilevel"/>
    <w:tmpl w:val="7EF70BF9"/>
    <w:lvl w:ilvl="0" w:tentative="0">
      <w:start w:val="1"/>
      <w:numFmt w:val="japaneseCounting"/>
      <w:lvlText w:val="（%1）"/>
      <w:lvlJc w:val="left"/>
      <w:pPr>
        <w:ind w:left="1060" w:hanging="420"/>
      </w:pPr>
      <w:rPr>
        <w:rFonts w:hint="default"/>
      </w:rPr>
    </w:lvl>
    <w:lvl w:ilvl="1" w:tentative="0">
      <w:start w:val="1"/>
      <w:numFmt w:val="japaneseCounting"/>
      <w:lvlText w:val="（%2）"/>
      <w:lvlJc w:val="left"/>
      <w:pPr>
        <w:ind w:left="1480" w:hanging="420"/>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zODNjMGI2OGMwMmM2YzkyODdiNmY1OTY5ZGEzZmEifQ=="/>
  </w:docVars>
  <w:rsids>
    <w:rsidRoot w:val="00A842F1"/>
    <w:rsid w:val="0007169B"/>
    <w:rsid w:val="000939CE"/>
    <w:rsid w:val="000A2BF1"/>
    <w:rsid w:val="000F0D02"/>
    <w:rsid w:val="000F4D71"/>
    <w:rsid w:val="00121D3C"/>
    <w:rsid w:val="001D217F"/>
    <w:rsid w:val="002037E2"/>
    <w:rsid w:val="00222A39"/>
    <w:rsid w:val="00262DFA"/>
    <w:rsid w:val="00264CA9"/>
    <w:rsid w:val="002D126B"/>
    <w:rsid w:val="002F311F"/>
    <w:rsid w:val="00356453"/>
    <w:rsid w:val="00386929"/>
    <w:rsid w:val="003B533A"/>
    <w:rsid w:val="003C4C4E"/>
    <w:rsid w:val="0043345F"/>
    <w:rsid w:val="00452DB7"/>
    <w:rsid w:val="004A3EF7"/>
    <w:rsid w:val="004A52CA"/>
    <w:rsid w:val="004F1F66"/>
    <w:rsid w:val="00521682"/>
    <w:rsid w:val="00573F94"/>
    <w:rsid w:val="00587AA8"/>
    <w:rsid w:val="005E7023"/>
    <w:rsid w:val="005F0677"/>
    <w:rsid w:val="005F2118"/>
    <w:rsid w:val="005F331A"/>
    <w:rsid w:val="00607BA9"/>
    <w:rsid w:val="00607E3F"/>
    <w:rsid w:val="00640462"/>
    <w:rsid w:val="006445E1"/>
    <w:rsid w:val="00662323"/>
    <w:rsid w:val="007218D4"/>
    <w:rsid w:val="007360E3"/>
    <w:rsid w:val="007A7032"/>
    <w:rsid w:val="008642A4"/>
    <w:rsid w:val="008F11A9"/>
    <w:rsid w:val="00911E7D"/>
    <w:rsid w:val="00970685"/>
    <w:rsid w:val="00986059"/>
    <w:rsid w:val="00A40E3A"/>
    <w:rsid w:val="00A4422D"/>
    <w:rsid w:val="00A56418"/>
    <w:rsid w:val="00A842F1"/>
    <w:rsid w:val="00A85950"/>
    <w:rsid w:val="00AA448E"/>
    <w:rsid w:val="00AE5F35"/>
    <w:rsid w:val="00AF04AC"/>
    <w:rsid w:val="00B02B78"/>
    <w:rsid w:val="00B24D23"/>
    <w:rsid w:val="00B25BAE"/>
    <w:rsid w:val="00B86320"/>
    <w:rsid w:val="00BA7DA9"/>
    <w:rsid w:val="00BB0D2D"/>
    <w:rsid w:val="00C10C5B"/>
    <w:rsid w:val="00C13207"/>
    <w:rsid w:val="00C2256B"/>
    <w:rsid w:val="00C546C5"/>
    <w:rsid w:val="00C97EDB"/>
    <w:rsid w:val="00D11481"/>
    <w:rsid w:val="00D5684D"/>
    <w:rsid w:val="00D711B2"/>
    <w:rsid w:val="00DE2E87"/>
    <w:rsid w:val="00E315C8"/>
    <w:rsid w:val="00E626AF"/>
    <w:rsid w:val="00E65D5C"/>
    <w:rsid w:val="00EF43E2"/>
    <w:rsid w:val="00F16A09"/>
    <w:rsid w:val="00F4516C"/>
    <w:rsid w:val="00F5727A"/>
    <w:rsid w:val="00FD39BF"/>
    <w:rsid w:val="00FD5129"/>
    <w:rsid w:val="01007806"/>
    <w:rsid w:val="04D8103A"/>
    <w:rsid w:val="04EF1359"/>
    <w:rsid w:val="07070E47"/>
    <w:rsid w:val="0A0F1CCE"/>
    <w:rsid w:val="0A2646ED"/>
    <w:rsid w:val="0BFA3D68"/>
    <w:rsid w:val="10000740"/>
    <w:rsid w:val="112B4495"/>
    <w:rsid w:val="147F4831"/>
    <w:rsid w:val="180B505A"/>
    <w:rsid w:val="1D2B21C2"/>
    <w:rsid w:val="1E2D3048"/>
    <w:rsid w:val="1E5F6E37"/>
    <w:rsid w:val="20C8218B"/>
    <w:rsid w:val="267E30A0"/>
    <w:rsid w:val="2A965F0E"/>
    <w:rsid w:val="2B607561"/>
    <w:rsid w:val="2C4A3EE9"/>
    <w:rsid w:val="2DB86184"/>
    <w:rsid w:val="2E6B58C2"/>
    <w:rsid w:val="2E725322"/>
    <w:rsid w:val="35F67BBB"/>
    <w:rsid w:val="3B7650A8"/>
    <w:rsid w:val="3B847C21"/>
    <w:rsid w:val="3DA715EA"/>
    <w:rsid w:val="3E934581"/>
    <w:rsid w:val="3FE04B7B"/>
    <w:rsid w:val="4049749E"/>
    <w:rsid w:val="40B2293E"/>
    <w:rsid w:val="42AD7D4E"/>
    <w:rsid w:val="44652CAB"/>
    <w:rsid w:val="453E3B70"/>
    <w:rsid w:val="466A2F7B"/>
    <w:rsid w:val="47582196"/>
    <w:rsid w:val="49F805F3"/>
    <w:rsid w:val="4BB73A5F"/>
    <w:rsid w:val="4C83569B"/>
    <w:rsid w:val="505B45BA"/>
    <w:rsid w:val="5B515E8D"/>
    <w:rsid w:val="5C277CBA"/>
    <w:rsid w:val="60976FF8"/>
    <w:rsid w:val="62245391"/>
    <w:rsid w:val="64AF28EA"/>
    <w:rsid w:val="67880ED2"/>
    <w:rsid w:val="6BC55AC3"/>
    <w:rsid w:val="6D3C77F2"/>
    <w:rsid w:val="6E08199F"/>
    <w:rsid w:val="73544E54"/>
    <w:rsid w:val="79C11170"/>
    <w:rsid w:val="79EB546E"/>
    <w:rsid w:val="7CEB7BD3"/>
    <w:rsid w:val="7D442C83"/>
    <w:rsid w:val="7D657371"/>
    <w:rsid w:val="7E407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spacing w:before="340" w:after="330" w:line="578" w:lineRule="atLeast"/>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32"/>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5">
    <w:name w:val="annotation text"/>
    <w:basedOn w:val="1"/>
    <w:link w:val="20"/>
    <w:unhideWhenUsed/>
    <w:qFormat/>
    <w:uiPriority w:val="0"/>
    <w:pPr>
      <w:jc w:val="left"/>
    </w:pPr>
  </w:style>
  <w:style w:type="paragraph" w:styleId="6">
    <w:name w:val="Balloon Text"/>
    <w:basedOn w:val="1"/>
    <w:link w:val="16"/>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21"/>
    <w:semiHidden/>
    <w:unhideWhenUsed/>
    <w:uiPriority w:val="99"/>
    <w:rPr>
      <w:b/>
      <w:bCs/>
    </w:rPr>
  </w:style>
  <w:style w:type="character" w:styleId="12">
    <w:name w:val="annotation reference"/>
    <w:basedOn w:val="11"/>
    <w:semiHidden/>
    <w:unhideWhenUsed/>
    <w:qFormat/>
    <w:uiPriority w:val="99"/>
    <w:rPr>
      <w:sz w:val="21"/>
      <w:szCs w:val="21"/>
    </w:rPr>
  </w:style>
  <w:style w:type="character" w:customStyle="1" w:styleId="13">
    <w:name w:val="页脚 字符"/>
    <w:basedOn w:val="11"/>
    <w:link w:val="7"/>
    <w:qFormat/>
    <w:uiPriority w:val="99"/>
    <w:rPr>
      <w:sz w:val="18"/>
      <w:szCs w:val="18"/>
    </w:rPr>
  </w:style>
  <w:style w:type="paragraph" w:customStyle="1" w:styleId="14">
    <w:name w:val="列表段落1"/>
    <w:basedOn w:val="1"/>
    <w:qFormat/>
    <w:uiPriority w:val="34"/>
    <w:pPr>
      <w:ind w:firstLine="420" w:firstLineChars="200"/>
    </w:pPr>
  </w:style>
  <w:style w:type="character" w:customStyle="1" w:styleId="15">
    <w:name w:val="页眉 字符"/>
    <w:basedOn w:val="11"/>
    <w:link w:val="8"/>
    <w:qFormat/>
    <w:uiPriority w:val="99"/>
    <w:rPr>
      <w:sz w:val="18"/>
      <w:szCs w:val="18"/>
    </w:rPr>
  </w:style>
  <w:style w:type="character" w:customStyle="1" w:styleId="16">
    <w:name w:val="批注框文本 字符"/>
    <w:basedOn w:val="11"/>
    <w:link w:val="6"/>
    <w:semiHidden/>
    <w:qFormat/>
    <w:uiPriority w:val="99"/>
    <w:rPr>
      <w:sz w:val="18"/>
      <w:szCs w:val="18"/>
    </w:rPr>
  </w:style>
  <w:style w:type="paragraph" w:customStyle="1" w:styleId="17">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8">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9">
    <w:name w:val="修订3"/>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0">
    <w:name w:val="批注文字 字符"/>
    <w:basedOn w:val="11"/>
    <w:link w:val="5"/>
    <w:qFormat/>
    <w:uiPriority w:val="0"/>
    <w:rPr>
      <w:kern w:val="2"/>
      <w:sz w:val="21"/>
      <w:szCs w:val="24"/>
    </w:rPr>
  </w:style>
  <w:style w:type="character" w:customStyle="1" w:styleId="21">
    <w:name w:val="批注主题 字符"/>
    <w:basedOn w:val="20"/>
    <w:link w:val="9"/>
    <w:semiHidden/>
    <w:qFormat/>
    <w:uiPriority w:val="99"/>
    <w:rPr>
      <w:b/>
      <w:bCs/>
      <w:kern w:val="2"/>
      <w:sz w:val="21"/>
      <w:szCs w:val="24"/>
    </w:rPr>
  </w:style>
  <w:style w:type="paragraph" w:customStyle="1" w:styleId="22">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257</Words>
  <Characters>1466</Characters>
  <Lines>12</Lines>
  <Paragraphs>3</Paragraphs>
  <TotalTime>4</TotalTime>
  <ScaleCrop>false</ScaleCrop>
  <LinksUpToDate>false</LinksUpToDate>
  <CharactersWithSpaces>1720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2022-07-25T09:20:00Z</dcterms:created>
  <dc:creator>吴 江</dc:creator>
  <cp:lastModifiedBy>姚淑芬(财务部)</cp:lastModifiedBy>
  <cp:lastPrinted>2022-03-13T07:08:00Z</cp:lastPrinted>
  <dcterms:modified xsi:type="dcterms:W3CDTF">2022-07-29T01:03:03Z</dcterms:modified>
  <dc:title>附件4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F2BF6431CA9A4F86AA09716BF1D33C93</vt:lpwstr>
  </property>
</Properties>
</file>