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lef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kinsoku/>
        <w:wordWrap/>
        <w:overflowPunct/>
        <w:topLinePunct w:val="0"/>
        <w:autoSpaceDE/>
        <w:autoSpaceDN/>
        <w:bidi w:val="0"/>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spacing w:line="680" w:lineRule="exact"/>
        <w:jc w:val="center"/>
        <w:textAlignment w:val="auto"/>
        <w:rPr>
          <w:rFonts w:hint="eastAsia" w:ascii="方正小标宋简体" w:hAnsi="微软简标宋" w:eastAsia="方正小标宋简体" w:cs="Times New Roman"/>
          <w:sz w:val="44"/>
          <w:szCs w:val="44"/>
          <w:lang w:val="en-US" w:eastAsia="zh-CN"/>
        </w:rPr>
      </w:pPr>
      <w:r>
        <w:rPr>
          <w:rFonts w:hint="eastAsia" w:ascii="方正小标宋简体" w:hAnsi="微软简标宋" w:eastAsia="方正小标宋简体" w:cs="Times New Roman"/>
          <w:sz w:val="44"/>
          <w:szCs w:val="44"/>
        </w:rPr>
        <w:t>广东省律师协会执业责任保险、意外险及附加保险、重大疾病保险、年金保险</w:t>
      </w:r>
      <w:r>
        <w:rPr>
          <w:rFonts w:hint="eastAsia" w:ascii="方正小标宋简体" w:hAnsi="微软简标宋" w:eastAsia="方正小标宋简体" w:cs="Times New Roman"/>
          <w:sz w:val="44"/>
          <w:szCs w:val="44"/>
          <w:lang w:eastAsia="zh-CN"/>
        </w:rPr>
        <w:t>、</w:t>
      </w:r>
      <w:r>
        <w:rPr>
          <w:rFonts w:hint="eastAsia" w:ascii="方正小标宋简体" w:hAnsi="微软简标宋" w:eastAsia="方正小标宋简体" w:cs="Times New Roman"/>
          <w:sz w:val="44"/>
          <w:szCs w:val="44"/>
        </w:rPr>
        <w:t>补充医疗保险、车辆保险项目</w:t>
      </w:r>
      <w:r>
        <w:rPr>
          <w:rFonts w:hint="eastAsia" w:ascii="方正小标宋简体" w:hAnsi="微软简标宋" w:eastAsia="方正小标宋简体" w:cs="Times New Roman"/>
          <w:sz w:val="44"/>
          <w:szCs w:val="44"/>
          <w:lang w:val="en-US" w:eastAsia="zh-CN"/>
        </w:rPr>
        <w:t>响应要求</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微软简标宋" w:eastAsia="方正小标宋简体" w:cs="Times New Roman"/>
          <w:sz w:val="44"/>
          <w:szCs w:val="44"/>
          <w:lang w:val="en-US" w:eastAsia="zh-CN"/>
        </w:rPr>
      </w:pPr>
    </w:p>
    <w:tbl>
      <w:tblPr>
        <w:tblStyle w:val="5"/>
        <w:tblW w:w="15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530"/>
        <w:gridCol w:w="1741"/>
        <w:gridCol w:w="1694"/>
        <w:gridCol w:w="1108"/>
        <w:gridCol w:w="1574"/>
        <w:gridCol w:w="5398"/>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6" w:type="dxa"/>
            <w:gridSpan w:val="2"/>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险种</w:t>
            </w:r>
          </w:p>
        </w:tc>
        <w:tc>
          <w:tcPr>
            <w:tcW w:w="1741"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lang w:val="en-US" w:eastAsia="zh-CN"/>
              </w:rPr>
              <w:t>投保人</w:t>
            </w:r>
          </w:p>
        </w:tc>
        <w:tc>
          <w:tcPr>
            <w:tcW w:w="1694"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default"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lang w:val="en-US" w:eastAsia="zh-CN"/>
              </w:rPr>
              <w:t>被保险人</w:t>
            </w:r>
          </w:p>
        </w:tc>
        <w:tc>
          <w:tcPr>
            <w:tcW w:w="1108"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28"/>
                <w:szCs w:val="28"/>
                <w:vertAlign w:val="baseline"/>
              </w:rPr>
            </w:pPr>
            <w:r>
              <w:rPr>
                <w:rFonts w:hint="eastAsia" w:ascii="仿宋_GB2312" w:hAnsi="仿宋_GB2312" w:eastAsia="仿宋_GB2312" w:cs="仿宋_GB2312"/>
                <w:b/>
                <w:bCs/>
                <w:sz w:val="28"/>
                <w:szCs w:val="28"/>
                <w:vertAlign w:val="baseline"/>
                <w:lang w:val="en-US" w:eastAsia="zh-CN"/>
              </w:rPr>
              <w:t>保额</w:t>
            </w:r>
          </w:p>
        </w:tc>
        <w:tc>
          <w:tcPr>
            <w:tcW w:w="1574"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免赔额</w:t>
            </w:r>
          </w:p>
        </w:tc>
        <w:tc>
          <w:tcPr>
            <w:tcW w:w="5398"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保险责任</w:t>
            </w:r>
          </w:p>
        </w:tc>
        <w:tc>
          <w:tcPr>
            <w:tcW w:w="1971"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6" w:type="dxa"/>
            <w:gridSpan w:val="2"/>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执业责任保险</w:t>
            </w:r>
          </w:p>
        </w:tc>
        <w:tc>
          <w:tcPr>
            <w:tcW w:w="1741"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广东省律师协会</w:t>
            </w:r>
          </w:p>
        </w:tc>
        <w:tc>
          <w:tcPr>
            <w:tcW w:w="1694"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广东省律师协会所属律师事务所及其执业律师（</w:t>
            </w:r>
            <w:r>
              <w:rPr>
                <w:rFonts w:hint="eastAsia" w:ascii="仿宋_GB2312" w:hAnsi="仿宋_GB2312" w:eastAsia="仿宋_GB2312" w:cs="仿宋_GB2312"/>
                <w:sz w:val="28"/>
                <w:szCs w:val="28"/>
                <w:lang w:eastAsia="zh-CN"/>
              </w:rPr>
              <w:t>含</w:t>
            </w:r>
            <w:r>
              <w:rPr>
                <w:rFonts w:hint="eastAsia" w:ascii="仿宋_GB2312" w:hAnsi="仿宋_GB2312" w:eastAsia="仿宋_GB2312" w:cs="仿宋_GB2312"/>
                <w:sz w:val="28"/>
                <w:szCs w:val="28"/>
                <w:lang w:val="en-US" w:eastAsia="zh-CN"/>
              </w:rPr>
              <w:t>联营所、</w:t>
            </w:r>
            <w:r>
              <w:rPr>
                <w:rFonts w:hint="eastAsia" w:ascii="仿宋_GB2312" w:hAnsi="仿宋_GB2312" w:eastAsia="仿宋_GB2312" w:cs="仿宋_GB2312"/>
                <w:sz w:val="28"/>
                <w:szCs w:val="28"/>
                <w:lang w:eastAsia="zh-CN"/>
              </w:rPr>
              <w:t>大湾区律师，</w:t>
            </w:r>
            <w:r>
              <w:rPr>
                <w:rFonts w:hint="eastAsia" w:ascii="仿宋_GB2312" w:hAnsi="仿宋_GB2312" w:eastAsia="仿宋_GB2312" w:cs="仿宋_GB2312"/>
                <w:sz w:val="28"/>
                <w:szCs w:val="28"/>
              </w:rPr>
              <w:t>不包含公职律师和公司律师）</w:t>
            </w:r>
          </w:p>
        </w:tc>
        <w:tc>
          <w:tcPr>
            <w:tcW w:w="1108" w:type="dxa"/>
            <w:vAlign w:val="center"/>
          </w:tcPr>
          <w:p>
            <w:pPr>
              <w:tabs>
                <w:tab w:val="left" w:pos="2880"/>
                <w:tab w:val="left" w:pos="3240"/>
                <w:tab w:val="left" w:pos="3600"/>
                <w:tab w:val="left" w:pos="3960"/>
                <w:tab w:val="left" w:pos="7200"/>
              </w:tabs>
              <w:snapToGrid w:val="0"/>
              <w:ind w:right="-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每次事故赔偿限额：人民币1000万元；</w:t>
            </w:r>
          </w:p>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保单年累计赔偿限额：人民币1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亿元。</w:t>
            </w:r>
          </w:p>
        </w:tc>
        <w:tc>
          <w:tcPr>
            <w:tcW w:w="1574"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每次事故免赔额为人民币3,000元或损失金额的</w:t>
            </w:r>
            <w:r>
              <w:rPr>
                <w:rFonts w:hint="eastAsia" w:ascii="仿宋_GB2312" w:hAnsi="仿宋_GB2312" w:eastAsia="仿宋_GB2312" w:cs="仿宋_GB2312"/>
                <w:bCs w:val="0"/>
                <w:sz w:val="28"/>
                <w:szCs w:val="28"/>
              </w:rPr>
              <w:t>6%，</w:t>
            </w:r>
            <w:r>
              <w:rPr>
                <w:rFonts w:hint="eastAsia" w:ascii="仿宋_GB2312" w:hAnsi="仿宋_GB2312" w:eastAsia="仿宋_GB2312" w:cs="仿宋_GB2312"/>
                <w:sz w:val="28"/>
                <w:szCs w:val="28"/>
              </w:rPr>
              <w:t>两者以高者为准，最高不超过人民币10万元。</w:t>
            </w:r>
          </w:p>
        </w:tc>
        <w:tc>
          <w:tcPr>
            <w:tcW w:w="5398" w:type="dxa"/>
            <w:vAlign w:val="center"/>
          </w:tcPr>
          <w:p>
            <w:pPr>
              <w:tabs>
                <w:tab w:val="left" w:pos="2880"/>
                <w:tab w:val="left" w:pos="3240"/>
                <w:tab w:val="left" w:pos="3600"/>
                <w:tab w:val="left" w:pos="3960"/>
                <w:tab w:val="left" w:pos="7200"/>
              </w:tabs>
              <w:snapToGrid w:val="0"/>
              <w:ind w:right="-25"/>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保险期限或保险协议载明的追溯期内，被保险人的注册律师（以下简称“注册律师”）在中国境内（不包括港澳台地区）办理委托人委托的法律业务时，因过失行为未尽其业务上应尽之责任及义务，造成委托人及其利害关系人的经济损失，委托人及其利害关系人在保险期限内首次向被保险人提出损害赔偿请求，依照中华人民共和国法律（不包括港澳台地区法律）应由被保险人承担的经济赔偿责任，保险人按照本保险合同约定负责赔偿。</w:t>
            </w:r>
          </w:p>
          <w:p>
            <w:pPr>
              <w:tabs>
                <w:tab w:val="left" w:pos="2880"/>
                <w:tab w:val="left" w:pos="3240"/>
                <w:tab w:val="left" w:pos="3600"/>
                <w:tab w:val="left" w:pos="3960"/>
                <w:tab w:val="left" w:pos="7200"/>
              </w:tabs>
              <w:snapToGrid w:val="0"/>
              <w:ind w:right="-2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保险人对委托人在保险期限内向被保险人提出的索赔要求负责，并对保险协议生效前自2013年6月1日零时起至协议期限内当年年度保单生效之日止被保险人在保险责任范围内造成委托人的经济损失负责赔偿。</w:t>
            </w:r>
          </w:p>
          <w:p>
            <w:pPr>
              <w:tabs>
                <w:tab w:val="left" w:pos="2880"/>
                <w:tab w:val="left" w:pos="3240"/>
                <w:tab w:val="left" w:pos="3600"/>
                <w:tab w:val="left" w:pos="3960"/>
                <w:tab w:val="left" w:pos="7200"/>
              </w:tabs>
              <w:snapToGrid w:val="0"/>
              <w:ind w:right="-25"/>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被保险人与委托人签订的提供中华人民共和国法律服务的委托合同及被保险人依据中华人民共和国法律为委托人提供的服务均属于本保险协议的调整范围。</w:t>
            </w:r>
          </w:p>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被保险人用于处理索赔的诉讼、仲裁过程中发生的费用、法院或仲裁机构裁决由被保险人支付的其他费用以及事先经保险人书面同意支付的必要、合理的费用，保险人负责赔偿。</w:t>
            </w:r>
          </w:p>
        </w:tc>
        <w:tc>
          <w:tcPr>
            <w:tcW w:w="1971"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1.可选保险责任：涉外（含港澳台地区）业务；</w:t>
            </w:r>
          </w:p>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2.可选保额增加人民币1000万元、2000万元。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Merge w:val="restart"/>
            <w:vAlign w:val="center"/>
          </w:tcPr>
          <w:p>
            <w:pPr>
              <w:keepNext w:val="0"/>
              <w:keepLines w:val="0"/>
              <w:pageBreakBefore w:val="0"/>
              <w:numPr>
                <w:ilvl w:val="0"/>
                <w:numId w:val="0"/>
              </w:numPr>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意外险</w:t>
            </w:r>
          </w:p>
        </w:tc>
        <w:tc>
          <w:tcPr>
            <w:tcW w:w="1530" w:type="dxa"/>
            <w:vAlign w:val="center"/>
          </w:tcPr>
          <w:p>
            <w:pPr>
              <w:keepNext w:val="0"/>
              <w:keepLines w:val="0"/>
              <w:pageBreakBefore w:val="0"/>
              <w:numPr>
                <w:ilvl w:val="0"/>
                <w:numId w:val="0"/>
              </w:numPr>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意外伤害</w:t>
            </w:r>
          </w:p>
        </w:tc>
        <w:tc>
          <w:tcPr>
            <w:tcW w:w="1741" w:type="dxa"/>
            <w:vMerge w:val="restart"/>
            <w:vAlign w:val="center"/>
          </w:tcPr>
          <w:p>
            <w:pPr>
              <w:tabs>
                <w:tab w:val="left" w:pos="2880"/>
                <w:tab w:val="left" w:pos="3240"/>
                <w:tab w:val="left" w:pos="3600"/>
                <w:tab w:val="left" w:pos="3960"/>
                <w:tab w:val="left" w:pos="7200"/>
              </w:tabs>
              <w:snapToGrid w:val="0"/>
              <w:ind w:right="-2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广东省律师协会</w:t>
            </w:r>
            <w:r>
              <w:rPr>
                <w:rFonts w:hint="eastAsia" w:ascii="仿宋_GB2312" w:hAnsi="仿宋_GB2312" w:eastAsia="仿宋_GB2312" w:cs="仿宋_GB2312"/>
                <w:sz w:val="28"/>
                <w:szCs w:val="28"/>
                <w:lang w:eastAsia="zh-CN"/>
              </w:rPr>
              <w:t>；</w:t>
            </w:r>
          </w:p>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广东省律师协会所属律师事务所及其执业律师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律师事务所工作人员</w:t>
            </w:r>
            <w:r>
              <w:rPr>
                <w:rFonts w:hint="eastAsia" w:ascii="仿宋_GB2312" w:hAnsi="仿宋_GB2312" w:eastAsia="仿宋_GB2312" w:cs="仿宋_GB2312"/>
                <w:sz w:val="28"/>
                <w:szCs w:val="28"/>
                <w:lang w:eastAsia="zh-CN"/>
              </w:rPr>
              <w:t>。</w:t>
            </w:r>
          </w:p>
        </w:tc>
        <w:tc>
          <w:tcPr>
            <w:tcW w:w="1694" w:type="dxa"/>
            <w:vMerge w:val="restart"/>
          </w:tcPr>
          <w:p>
            <w:pPr>
              <w:numPr>
                <w:ilvl w:val="0"/>
                <w:numId w:val="0"/>
              </w:numPr>
              <w:tabs>
                <w:tab w:val="left" w:pos="2880"/>
                <w:tab w:val="left" w:pos="3240"/>
                <w:tab w:val="left" w:pos="3600"/>
                <w:tab w:val="left" w:pos="3960"/>
                <w:tab w:val="left" w:pos="7200"/>
              </w:tabs>
              <w:snapToGrid w:val="0"/>
              <w:ind w:right="-25" w:righ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广东省律师协会注册律师</w:t>
            </w:r>
          </w:p>
          <w:p>
            <w:pPr>
              <w:numPr>
                <w:ilvl w:val="0"/>
                <w:numId w:val="0"/>
              </w:numPr>
              <w:tabs>
                <w:tab w:val="left" w:pos="2880"/>
                <w:tab w:val="left" w:pos="3240"/>
                <w:tab w:val="left" w:pos="3600"/>
                <w:tab w:val="left" w:pos="3960"/>
                <w:tab w:val="left" w:pos="7200"/>
              </w:tabs>
              <w:snapToGrid w:val="0"/>
              <w:ind w:right="-25" w:righ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2.广东省内</w:t>
            </w:r>
            <w:r>
              <w:rPr>
                <w:rFonts w:hint="eastAsia" w:ascii="仿宋_GB2312" w:hAnsi="仿宋_GB2312" w:eastAsia="仿宋_GB2312" w:cs="仿宋_GB2312"/>
                <w:sz w:val="28"/>
                <w:szCs w:val="28"/>
              </w:rPr>
              <w:t>律师事务所与律师事务所签订劳动合同且由律师事务所发放工资并购买社保的在职工作人员</w:t>
            </w:r>
          </w:p>
          <w:p>
            <w:pPr>
              <w:numPr>
                <w:ilvl w:val="0"/>
                <w:numId w:val="0"/>
              </w:numPr>
              <w:tabs>
                <w:tab w:val="left" w:pos="2880"/>
                <w:tab w:val="left" w:pos="3240"/>
                <w:tab w:val="left" w:pos="3600"/>
                <w:tab w:val="left" w:pos="3960"/>
                <w:tab w:val="left" w:pos="7200"/>
              </w:tabs>
              <w:snapToGrid w:val="0"/>
              <w:ind w:right="-25" w:righ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3.广东省及地市律师协会与省、市律协签订劳动合同的工作人员，司法厅、市司法局指派到省、市律协工作的专职人员</w:t>
            </w:r>
          </w:p>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u w:val="none"/>
                <w:lang w:val="en-US" w:eastAsia="zh-CN"/>
              </w:rPr>
              <w:t>（以上人员含使用非大陆身份证投保人员）</w:t>
            </w:r>
          </w:p>
        </w:tc>
        <w:tc>
          <w:tcPr>
            <w:tcW w:w="1108"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default"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50万元</w:t>
            </w:r>
          </w:p>
        </w:tc>
        <w:tc>
          <w:tcPr>
            <w:tcW w:w="1574"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无</w:t>
            </w:r>
          </w:p>
        </w:tc>
        <w:tc>
          <w:tcPr>
            <w:tcW w:w="5398" w:type="dxa"/>
            <w:vMerge w:val="restart"/>
            <w:vAlign w:val="center"/>
          </w:tcPr>
          <w:p>
            <w:pPr>
              <w:tabs>
                <w:tab w:val="left" w:pos="2880"/>
                <w:tab w:val="left" w:pos="3240"/>
                <w:tab w:val="left" w:pos="3600"/>
                <w:tab w:val="left" w:pos="3960"/>
                <w:tab w:val="left" w:pos="7200"/>
              </w:tabs>
              <w:snapToGrid w:val="0"/>
              <w:ind w:right="-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被保险人因遭受意外伤害事故，并自事故发生之日起180日内身故的，保险人按保险金额给付“意外伤害身故保险金”。</w:t>
            </w:r>
          </w:p>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被保险人遭受意外伤害事故，并自该事故发生之日起180日内因该事故造成《人身保险伤残评定标准及代码》（标准编号为JR/T0083—2013）所列伤残之一的，保险人按合同所列比例乘以其保险金额给付“意外伤害残疾保险金”。</w:t>
            </w:r>
          </w:p>
        </w:tc>
        <w:tc>
          <w:tcPr>
            <w:tcW w:w="1971"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Merge w:val="continue"/>
          </w:tcPr>
          <w:p>
            <w:pPr>
              <w:keepNext w:val="0"/>
              <w:keepLines w:val="0"/>
              <w:pageBreakBefore w:val="0"/>
              <w:numPr>
                <w:ilvl w:val="0"/>
                <w:numId w:val="0"/>
              </w:numPr>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left"/>
              <w:textAlignment w:val="auto"/>
              <w:rPr>
                <w:rFonts w:hint="eastAsia" w:ascii="仿宋_GB2312" w:hAnsi="仿宋_GB2312" w:eastAsia="仿宋_GB2312" w:cs="仿宋_GB2312"/>
                <w:sz w:val="28"/>
                <w:szCs w:val="28"/>
                <w:vertAlign w:val="baseline"/>
              </w:rPr>
            </w:pPr>
          </w:p>
        </w:tc>
        <w:tc>
          <w:tcPr>
            <w:tcW w:w="1530" w:type="dxa"/>
            <w:vAlign w:val="center"/>
          </w:tcPr>
          <w:p>
            <w:pPr>
              <w:keepNext w:val="0"/>
              <w:keepLines w:val="0"/>
              <w:pageBreakBefore w:val="0"/>
              <w:numPr>
                <w:ilvl w:val="0"/>
                <w:numId w:val="0"/>
              </w:numPr>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意外伤害医疗费用补偿</w:t>
            </w:r>
          </w:p>
        </w:tc>
        <w:tc>
          <w:tcPr>
            <w:tcW w:w="1741" w:type="dxa"/>
            <w:vMerge w:val="continue"/>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rPr>
            </w:pPr>
          </w:p>
        </w:tc>
        <w:tc>
          <w:tcPr>
            <w:tcW w:w="1694" w:type="dxa"/>
            <w:vMerge w:val="continue"/>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left"/>
              <w:textAlignment w:val="auto"/>
              <w:rPr>
                <w:rFonts w:hint="eastAsia" w:ascii="仿宋_GB2312" w:hAnsi="仿宋_GB2312" w:eastAsia="仿宋_GB2312" w:cs="仿宋_GB2312"/>
                <w:sz w:val="28"/>
                <w:szCs w:val="28"/>
                <w:vertAlign w:val="baseline"/>
              </w:rPr>
            </w:pPr>
          </w:p>
        </w:tc>
        <w:tc>
          <w:tcPr>
            <w:tcW w:w="1108"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default"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5万元</w:t>
            </w:r>
          </w:p>
        </w:tc>
        <w:tc>
          <w:tcPr>
            <w:tcW w:w="1574"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无</w:t>
            </w:r>
          </w:p>
        </w:tc>
        <w:tc>
          <w:tcPr>
            <w:tcW w:w="5398" w:type="dxa"/>
            <w:vMerge w:val="continue"/>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rPr>
            </w:pPr>
          </w:p>
        </w:tc>
        <w:tc>
          <w:tcPr>
            <w:tcW w:w="1971"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926" w:type="dxa"/>
            <w:vMerge w:val="continue"/>
          </w:tcPr>
          <w:p>
            <w:pPr>
              <w:keepNext w:val="0"/>
              <w:keepLines w:val="0"/>
              <w:pageBreakBefore w:val="0"/>
              <w:numPr>
                <w:ilvl w:val="0"/>
                <w:numId w:val="0"/>
              </w:numPr>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left"/>
              <w:textAlignment w:val="auto"/>
              <w:rPr>
                <w:rFonts w:hint="eastAsia" w:ascii="仿宋_GB2312" w:hAnsi="仿宋_GB2312" w:eastAsia="仿宋_GB2312" w:cs="仿宋_GB2312"/>
                <w:sz w:val="28"/>
                <w:szCs w:val="28"/>
                <w:vertAlign w:val="baseline"/>
              </w:rPr>
            </w:pPr>
          </w:p>
        </w:tc>
        <w:tc>
          <w:tcPr>
            <w:tcW w:w="1530" w:type="dxa"/>
            <w:vAlign w:val="center"/>
          </w:tcPr>
          <w:p>
            <w:pPr>
              <w:keepNext w:val="0"/>
              <w:keepLines w:val="0"/>
              <w:pageBreakBefore w:val="0"/>
              <w:numPr>
                <w:ilvl w:val="0"/>
                <w:numId w:val="0"/>
              </w:numPr>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意外伤害住院津贴</w:t>
            </w:r>
          </w:p>
        </w:tc>
        <w:tc>
          <w:tcPr>
            <w:tcW w:w="1741" w:type="dxa"/>
            <w:vMerge w:val="continue"/>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rPr>
            </w:pPr>
          </w:p>
        </w:tc>
        <w:tc>
          <w:tcPr>
            <w:tcW w:w="1694" w:type="dxa"/>
            <w:vMerge w:val="continue"/>
            <w:vAlign w:val="top"/>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left"/>
              <w:textAlignment w:val="auto"/>
              <w:rPr>
                <w:rFonts w:hint="eastAsia" w:ascii="仿宋_GB2312" w:hAnsi="仿宋_GB2312" w:eastAsia="仿宋_GB2312" w:cs="仿宋_GB2312"/>
                <w:sz w:val="28"/>
                <w:szCs w:val="28"/>
                <w:vertAlign w:val="baseline"/>
              </w:rPr>
            </w:pPr>
          </w:p>
        </w:tc>
        <w:tc>
          <w:tcPr>
            <w:tcW w:w="1108"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default"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100元/天</w:t>
            </w:r>
          </w:p>
        </w:tc>
        <w:tc>
          <w:tcPr>
            <w:tcW w:w="1574"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5398" w:type="dxa"/>
            <w:vMerge w:val="continue"/>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rPr>
            </w:pPr>
          </w:p>
        </w:tc>
        <w:tc>
          <w:tcPr>
            <w:tcW w:w="1971"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926" w:type="dxa"/>
            <w:vMerge w:val="continue"/>
          </w:tcPr>
          <w:p>
            <w:pPr>
              <w:keepNext w:val="0"/>
              <w:keepLines w:val="0"/>
              <w:pageBreakBefore w:val="0"/>
              <w:numPr>
                <w:ilvl w:val="0"/>
                <w:numId w:val="0"/>
              </w:numPr>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left"/>
              <w:textAlignment w:val="auto"/>
              <w:rPr>
                <w:rFonts w:hint="eastAsia" w:ascii="仿宋_GB2312" w:hAnsi="仿宋_GB2312" w:eastAsia="仿宋_GB2312" w:cs="仿宋_GB2312"/>
                <w:sz w:val="28"/>
                <w:szCs w:val="28"/>
                <w:vertAlign w:val="baseline"/>
              </w:rPr>
            </w:pPr>
          </w:p>
        </w:tc>
        <w:tc>
          <w:tcPr>
            <w:tcW w:w="1530" w:type="dxa"/>
            <w:vAlign w:val="center"/>
          </w:tcPr>
          <w:p>
            <w:pPr>
              <w:keepNext w:val="0"/>
              <w:keepLines w:val="0"/>
              <w:pageBreakBefore w:val="0"/>
              <w:numPr>
                <w:ilvl w:val="0"/>
                <w:numId w:val="0"/>
              </w:numPr>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rPr>
              <w:t>疾病身故保险（含猝死责任）</w:t>
            </w:r>
          </w:p>
        </w:tc>
        <w:tc>
          <w:tcPr>
            <w:tcW w:w="1741" w:type="dxa"/>
            <w:vMerge w:val="continue"/>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1694" w:type="dxa"/>
            <w:vMerge w:val="continue"/>
            <w:vAlign w:val="top"/>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left"/>
              <w:textAlignment w:val="auto"/>
              <w:rPr>
                <w:rFonts w:hint="eastAsia" w:ascii="仿宋_GB2312" w:hAnsi="仿宋_GB2312" w:eastAsia="仿宋_GB2312" w:cs="仿宋_GB2312"/>
                <w:kern w:val="2"/>
                <w:sz w:val="28"/>
                <w:szCs w:val="28"/>
                <w:vertAlign w:val="baseline"/>
                <w:lang w:val="en-US" w:eastAsia="zh-CN" w:bidi="ar-SA"/>
              </w:rPr>
            </w:pPr>
          </w:p>
        </w:tc>
        <w:tc>
          <w:tcPr>
            <w:tcW w:w="1108"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10万元</w:t>
            </w:r>
          </w:p>
        </w:tc>
        <w:tc>
          <w:tcPr>
            <w:tcW w:w="1574"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无</w:t>
            </w:r>
          </w:p>
        </w:tc>
        <w:tc>
          <w:tcPr>
            <w:tcW w:w="5398"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971"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6" w:type="dxa"/>
            <w:gridSpan w:val="2"/>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重疾险</w:t>
            </w:r>
          </w:p>
        </w:tc>
        <w:tc>
          <w:tcPr>
            <w:tcW w:w="1741" w:type="dxa"/>
            <w:vMerge w:val="continue"/>
            <w:vAlign w:val="top"/>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left"/>
              <w:textAlignment w:val="auto"/>
              <w:rPr>
                <w:rFonts w:hint="eastAsia" w:ascii="仿宋_GB2312" w:hAnsi="仿宋_GB2312" w:eastAsia="仿宋_GB2312" w:cs="仿宋_GB2312"/>
                <w:kern w:val="2"/>
                <w:sz w:val="28"/>
                <w:szCs w:val="28"/>
                <w:vertAlign w:val="baseline"/>
                <w:lang w:val="en-US" w:eastAsia="zh-CN" w:bidi="ar-SA"/>
              </w:rPr>
            </w:pPr>
          </w:p>
        </w:tc>
        <w:tc>
          <w:tcPr>
            <w:tcW w:w="1694" w:type="dxa"/>
            <w:vMerge w:val="continue"/>
            <w:vAlign w:val="top"/>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left"/>
              <w:textAlignment w:val="auto"/>
              <w:rPr>
                <w:rFonts w:hint="eastAsia" w:ascii="仿宋_GB2312" w:hAnsi="仿宋_GB2312" w:eastAsia="仿宋_GB2312" w:cs="仿宋_GB2312"/>
                <w:kern w:val="2"/>
                <w:sz w:val="28"/>
                <w:szCs w:val="28"/>
                <w:vertAlign w:val="baseline"/>
                <w:lang w:val="en-US" w:eastAsia="zh-CN" w:bidi="ar-SA"/>
              </w:rPr>
            </w:pPr>
          </w:p>
        </w:tc>
        <w:tc>
          <w:tcPr>
            <w:tcW w:w="1108"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10万元</w:t>
            </w:r>
          </w:p>
        </w:tc>
        <w:tc>
          <w:tcPr>
            <w:tcW w:w="1574"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无</w:t>
            </w:r>
          </w:p>
        </w:tc>
        <w:tc>
          <w:tcPr>
            <w:tcW w:w="5398"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保险人在保险合同生效日起满30天等待期后，经医院初次确诊罹患本协议定义的100种重大疾病之任一种，保险人应按约定的保险金额支付该被保险人重大疾病保险金，被保险人或其受益人在全额收到保险人按照本合同约定的保险金额支付的保险赔偿金后，保险人对该被保险人的保险责任终止。如被保险人在保险合同生效日起30天的等待期内被确诊罹患本协议定义的100种重大疾病之任一种，则保险人仅全额退还该被保险人的保险费而不承担保险责任。</w:t>
            </w:r>
          </w:p>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both"/>
              <w:textAlignment w:val="auto"/>
              <w:rPr>
                <w:rFonts w:hint="default" w:ascii="等线" w:hAnsi="等线" w:eastAsia="等线" w:cs="Times New Roman"/>
                <w:sz w:val="21"/>
                <w:szCs w:val="22"/>
                <w:vertAlign w:val="baseline"/>
                <w:lang w:val="en-US" w:eastAsia="zh-CN"/>
              </w:rPr>
            </w:pPr>
            <w:r>
              <w:rPr>
                <w:rFonts w:hint="eastAsia" w:ascii="仿宋_GB2312" w:hAnsi="仿宋_GB2312" w:eastAsia="仿宋_GB2312" w:cs="仿宋_GB2312"/>
                <w:sz w:val="28"/>
                <w:szCs w:val="28"/>
              </w:rPr>
              <w:t>对于投保前被保险人已患的本协议列明的重大疾病及其相关并发症（包括转移恶性肿瘤），保险人均不承担给付保险金责任；但对该被保险人在保单年度内新罹患的符合本协议定义的其他重大疾病，保险人应按约定的保险金额给付保险金；被保险人罹患协议中两项或两项以上重大疾病项目的，保险人给付各项重大疾病保险金之和，保险人对同一被保险人按本协议约定累计给付的保险金数额之和以本协议约定的保险金额为限。如果累计给付的各项保险金数额之和达到本合同项下该被保险人名下的保险金额，保险人对该被保险人承担的保险责任终止。</w:t>
            </w:r>
          </w:p>
        </w:tc>
        <w:tc>
          <w:tcPr>
            <w:tcW w:w="1971" w:type="dxa"/>
            <w:vAlign w:val="center"/>
          </w:tcPr>
          <w:p>
            <w:pPr>
              <w:keepNext w:val="0"/>
              <w:keepLines w:val="0"/>
              <w:pageBreakBefore w:val="0"/>
              <w:numPr>
                <w:ilvl w:val="-1"/>
                <w:numId w:val="0"/>
              </w:numPr>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1.可选保额增加10万元。</w:t>
            </w:r>
          </w:p>
          <w:p>
            <w:pPr>
              <w:keepNext w:val="0"/>
              <w:keepLines w:val="0"/>
              <w:pageBreakBefore w:val="0"/>
              <w:numPr>
                <w:ilvl w:val="-1"/>
                <w:numId w:val="0"/>
              </w:numPr>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2.2023年度已投保人员无等待期。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Merge w:val="restart"/>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补充医疗保险</w:t>
            </w:r>
          </w:p>
        </w:tc>
        <w:tc>
          <w:tcPr>
            <w:tcW w:w="1530"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住院医疗保险金</w:t>
            </w:r>
          </w:p>
        </w:tc>
        <w:tc>
          <w:tcPr>
            <w:tcW w:w="1741" w:type="dxa"/>
            <w:vMerge w:val="restart"/>
            <w:vAlign w:val="center"/>
          </w:tcPr>
          <w:p>
            <w:pPr>
              <w:tabs>
                <w:tab w:val="left" w:pos="2880"/>
                <w:tab w:val="left" w:pos="3240"/>
                <w:tab w:val="left" w:pos="3600"/>
                <w:tab w:val="left" w:pos="3960"/>
                <w:tab w:val="left" w:pos="7200"/>
              </w:tabs>
              <w:snapToGrid w:val="0"/>
              <w:ind w:right="-2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广东省律师协会</w:t>
            </w:r>
            <w:r>
              <w:rPr>
                <w:rFonts w:hint="eastAsia" w:ascii="仿宋_GB2312" w:hAnsi="仿宋_GB2312" w:eastAsia="仿宋_GB2312" w:cs="仿宋_GB2312"/>
                <w:sz w:val="28"/>
                <w:szCs w:val="28"/>
                <w:lang w:eastAsia="zh-CN"/>
              </w:rPr>
              <w:t>；</w:t>
            </w:r>
          </w:p>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广东省律师协会所属律师事务所及其执业律师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律师事务所工作人员</w:t>
            </w:r>
            <w:r>
              <w:rPr>
                <w:rFonts w:hint="eastAsia" w:ascii="仿宋_GB2312" w:hAnsi="仿宋_GB2312" w:eastAsia="仿宋_GB2312" w:cs="仿宋_GB2312"/>
                <w:sz w:val="28"/>
                <w:szCs w:val="28"/>
                <w:lang w:eastAsia="zh-CN"/>
              </w:rPr>
              <w:t>。</w:t>
            </w:r>
          </w:p>
        </w:tc>
        <w:tc>
          <w:tcPr>
            <w:tcW w:w="1694" w:type="dxa"/>
            <w:vMerge w:val="restart"/>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广东省律师协会所属律师事务所及其执业律师，律师事务所工作人员，省、市律协工作人员</w:t>
            </w:r>
          </w:p>
        </w:tc>
        <w:tc>
          <w:tcPr>
            <w:tcW w:w="1108" w:type="dxa"/>
            <w:vMerge w:val="restart"/>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100万元</w:t>
            </w:r>
          </w:p>
        </w:tc>
        <w:tc>
          <w:tcPr>
            <w:tcW w:w="1574" w:type="dxa"/>
            <w:vMerge w:val="restart"/>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可设置多档免赔额</w:t>
            </w:r>
          </w:p>
        </w:tc>
        <w:tc>
          <w:tcPr>
            <w:tcW w:w="5398" w:type="dxa"/>
            <w:vMerge w:val="restart"/>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p>
        </w:tc>
        <w:tc>
          <w:tcPr>
            <w:tcW w:w="1971" w:type="dxa"/>
            <w:vMerge w:val="restart"/>
            <w:vAlign w:val="center"/>
          </w:tcPr>
          <w:p>
            <w:pPr>
              <w:keepNext w:val="0"/>
              <w:keepLines w:val="0"/>
              <w:pageBreakBefore w:val="0"/>
              <w:numPr>
                <w:ilvl w:val="-1"/>
                <w:numId w:val="0"/>
              </w:numPr>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可选保额增加100万元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Merge w:val="continue"/>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center"/>
              <w:textAlignment w:val="auto"/>
              <w:rPr>
                <w:rFonts w:hint="eastAsia" w:ascii="仿宋_GB2312" w:hAnsi="仿宋_GB2312" w:eastAsia="仿宋_GB2312" w:cs="仿宋_GB2312"/>
                <w:sz w:val="28"/>
                <w:szCs w:val="28"/>
                <w:vertAlign w:val="baseline"/>
                <w:lang w:val="en-US" w:eastAsia="zh-CN"/>
              </w:rPr>
            </w:pPr>
          </w:p>
        </w:tc>
        <w:tc>
          <w:tcPr>
            <w:tcW w:w="1530"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一般医疗保险金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含门诊）</w:t>
            </w:r>
          </w:p>
        </w:tc>
        <w:tc>
          <w:tcPr>
            <w:tcW w:w="1741" w:type="dxa"/>
            <w:vMerge w:val="continue"/>
            <w:vAlign w:val="top"/>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both"/>
              <w:textAlignment w:val="auto"/>
              <w:rPr>
                <w:rFonts w:hint="eastAsia" w:ascii="仿宋_GB2312" w:hAnsi="仿宋_GB2312" w:eastAsia="仿宋_GB2312" w:cs="仿宋_GB2312"/>
                <w:sz w:val="28"/>
                <w:szCs w:val="28"/>
              </w:rPr>
            </w:pPr>
          </w:p>
        </w:tc>
        <w:tc>
          <w:tcPr>
            <w:tcW w:w="1694" w:type="dxa"/>
            <w:vMerge w:val="continue"/>
            <w:vAlign w:val="top"/>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left"/>
              <w:textAlignment w:val="auto"/>
              <w:rPr>
                <w:rFonts w:hint="eastAsia" w:ascii="仿宋_GB2312" w:hAnsi="仿宋_GB2312" w:eastAsia="仿宋_GB2312" w:cs="仿宋_GB2312"/>
                <w:kern w:val="2"/>
                <w:sz w:val="28"/>
                <w:szCs w:val="28"/>
                <w:vertAlign w:val="baseline"/>
                <w:lang w:val="en-US" w:eastAsia="zh-CN" w:bidi="ar-SA"/>
              </w:rPr>
            </w:pPr>
          </w:p>
        </w:tc>
        <w:tc>
          <w:tcPr>
            <w:tcW w:w="1108" w:type="dxa"/>
            <w:vMerge w:val="continue"/>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center"/>
              <w:textAlignment w:val="auto"/>
              <w:rPr>
                <w:rFonts w:hint="eastAsia" w:ascii="仿宋_GB2312" w:hAnsi="仿宋_GB2312" w:eastAsia="仿宋_GB2312" w:cs="仿宋_GB2312"/>
                <w:sz w:val="28"/>
                <w:szCs w:val="28"/>
                <w:vertAlign w:val="baseline"/>
                <w:lang w:val="en-US" w:eastAsia="zh-CN"/>
              </w:rPr>
            </w:pPr>
          </w:p>
        </w:tc>
        <w:tc>
          <w:tcPr>
            <w:tcW w:w="1574" w:type="dxa"/>
            <w:vMerge w:val="continue"/>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lang w:val="en-US" w:eastAsia="zh-CN"/>
              </w:rPr>
            </w:pPr>
          </w:p>
        </w:tc>
        <w:tc>
          <w:tcPr>
            <w:tcW w:w="5398" w:type="dxa"/>
            <w:vMerge w:val="continue"/>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both"/>
              <w:textAlignment w:val="auto"/>
              <w:rPr>
                <w:rFonts w:hint="eastAsia" w:ascii="仿宋_GB2312" w:hAnsi="仿宋_GB2312" w:eastAsia="仿宋_GB2312" w:cs="仿宋_GB2312"/>
                <w:sz w:val="28"/>
                <w:szCs w:val="28"/>
              </w:rPr>
            </w:pPr>
          </w:p>
        </w:tc>
        <w:tc>
          <w:tcPr>
            <w:tcW w:w="1971" w:type="dxa"/>
            <w:vMerge w:val="continue"/>
            <w:vAlign w:val="center"/>
          </w:tcPr>
          <w:p>
            <w:pPr>
              <w:keepNext w:val="0"/>
              <w:keepLines w:val="0"/>
              <w:pageBreakBefore w:val="0"/>
              <w:numPr>
                <w:ilvl w:val="-1"/>
                <w:numId w:val="0"/>
              </w:numPr>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Merge w:val="continue"/>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center"/>
              <w:textAlignment w:val="auto"/>
              <w:rPr>
                <w:rFonts w:hint="eastAsia" w:ascii="仿宋_GB2312" w:hAnsi="仿宋_GB2312" w:eastAsia="仿宋_GB2312" w:cs="仿宋_GB2312"/>
                <w:sz w:val="28"/>
                <w:szCs w:val="28"/>
                <w:vertAlign w:val="baseline"/>
                <w:lang w:val="en-US" w:eastAsia="zh-CN"/>
              </w:rPr>
            </w:pPr>
          </w:p>
        </w:tc>
        <w:tc>
          <w:tcPr>
            <w:tcW w:w="1530"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意外伤害责任</w:t>
            </w:r>
          </w:p>
        </w:tc>
        <w:tc>
          <w:tcPr>
            <w:tcW w:w="1741" w:type="dxa"/>
            <w:vMerge w:val="continue"/>
            <w:vAlign w:val="top"/>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both"/>
              <w:textAlignment w:val="auto"/>
              <w:rPr>
                <w:rFonts w:hint="eastAsia" w:ascii="仿宋_GB2312" w:hAnsi="仿宋_GB2312" w:eastAsia="仿宋_GB2312" w:cs="仿宋_GB2312"/>
                <w:sz w:val="28"/>
                <w:szCs w:val="28"/>
              </w:rPr>
            </w:pPr>
          </w:p>
        </w:tc>
        <w:tc>
          <w:tcPr>
            <w:tcW w:w="1694" w:type="dxa"/>
            <w:vMerge w:val="continue"/>
            <w:vAlign w:val="top"/>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left"/>
              <w:textAlignment w:val="auto"/>
              <w:rPr>
                <w:rFonts w:hint="eastAsia" w:ascii="仿宋_GB2312" w:hAnsi="仿宋_GB2312" w:eastAsia="仿宋_GB2312" w:cs="仿宋_GB2312"/>
                <w:kern w:val="2"/>
                <w:sz w:val="28"/>
                <w:szCs w:val="28"/>
                <w:vertAlign w:val="baseline"/>
                <w:lang w:val="en-US" w:eastAsia="zh-CN" w:bidi="ar-SA"/>
              </w:rPr>
            </w:pPr>
          </w:p>
        </w:tc>
        <w:tc>
          <w:tcPr>
            <w:tcW w:w="1108"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10万元</w:t>
            </w:r>
          </w:p>
        </w:tc>
        <w:tc>
          <w:tcPr>
            <w:tcW w:w="1574" w:type="dxa"/>
            <w:vMerge w:val="continue"/>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lang w:val="en-US" w:eastAsia="zh-CN"/>
              </w:rPr>
            </w:pPr>
          </w:p>
        </w:tc>
        <w:tc>
          <w:tcPr>
            <w:tcW w:w="5398" w:type="dxa"/>
            <w:vMerge w:val="continue"/>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both"/>
              <w:textAlignment w:val="auto"/>
              <w:rPr>
                <w:rFonts w:hint="eastAsia" w:ascii="仿宋_GB2312" w:hAnsi="仿宋_GB2312" w:eastAsia="仿宋_GB2312" w:cs="仿宋_GB2312"/>
                <w:sz w:val="28"/>
                <w:szCs w:val="28"/>
              </w:rPr>
            </w:pPr>
          </w:p>
        </w:tc>
        <w:tc>
          <w:tcPr>
            <w:tcW w:w="1971" w:type="dxa"/>
            <w:vMerge w:val="continue"/>
            <w:vAlign w:val="center"/>
          </w:tcPr>
          <w:p>
            <w:pPr>
              <w:keepNext w:val="0"/>
              <w:keepLines w:val="0"/>
              <w:pageBreakBefore w:val="0"/>
              <w:numPr>
                <w:ilvl w:val="-1"/>
                <w:numId w:val="0"/>
              </w:numPr>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Merge w:val="continue"/>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center"/>
              <w:textAlignment w:val="auto"/>
              <w:rPr>
                <w:rFonts w:hint="eastAsia" w:ascii="仿宋_GB2312" w:hAnsi="仿宋_GB2312" w:eastAsia="仿宋_GB2312" w:cs="仿宋_GB2312"/>
                <w:sz w:val="28"/>
                <w:szCs w:val="28"/>
                <w:vertAlign w:val="baseline"/>
                <w:lang w:val="en-US" w:eastAsia="zh-CN"/>
              </w:rPr>
            </w:pPr>
          </w:p>
        </w:tc>
        <w:tc>
          <w:tcPr>
            <w:tcW w:w="1530"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意外及疾病住院津贴</w:t>
            </w:r>
          </w:p>
        </w:tc>
        <w:tc>
          <w:tcPr>
            <w:tcW w:w="1741" w:type="dxa"/>
            <w:vMerge w:val="continue"/>
            <w:vAlign w:val="top"/>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both"/>
              <w:textAlignment w:val="auto"/>
              <w:rPr>
                <w:rFonts w:hint="eastAsia" w:ascii="仿宋_GB2312" w:hAnsi="仿宋_GB2312" w:eastAsia="仿宋_GB2312" w:cs="仿宋_GB2312"/>
                <w:sz w:val="28"/>
                <w:szCs w:val="28"/>
              </w:rPr>
            </w:pPr>
          </w:p>
        </w:tc>
        <w:tc>
          <w:tcPr>
            <w:tcW w:w="1694" w:type="dxa"/>
            <w:vMerge w:val="continue"/>
            <w:vAlign w:val="top"/>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left"/>
              <w:textAlignment w:val="auto"/>
              <w:rPr>
                <w:rFonts w:hint="eastAsia" w:ascii="仿宋_GB2312" w:hAnsi="仿宋_GB2312" w:eastAsia="仿宋_GB2312" w:cs="仿宋_GB2312"/>
                <w:kern w:val="2"/>
                <w:sz w:val="28"/>
                <w:szCs w:val="28"/>
                <w:vertAlign w:val="baseline"/>
                <w:lang w:val="en-US" w:eastAsia="zh-CN" w:bidi="ar-SA"/>
              </w:rPr>
            </w:pPr>
          </w:p>
        </w:tc>
        <w:tc>
          <w:tcPr>
            <w:tcW w:w="1108" w:type="dxa"/>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right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100元/人/天</w:t>
            </w:r>
          </w:p>
        </w:tc>
        <w:tc>
          <w:tcPr>
            <w:tcW w:w="1574" w:type="dxa"/>
            <w:vMerge w:val="continue"/>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center"/>
              <w:textAlignment w:val="auto"/>
              <w:rPr>
                <w:rFonts w:hint="eastAsia" w:ascii="仿宋_GB2312" w:hAnsi="仿宋_GB2312" w:eastAsia="仿宋_GB2312" w:cs="仿宋_GB2312"/>
                <w:sz w:val="28"/>
                <w:szCs w:val="28"/>
                <w:vertAlign w:val="baseline"/>
                <w:lang w:val="en-US" w:eastAsia="zh-CN"/>
              </w:rPr>
            </w:pPr>
          </w:p>
        </w:tc>
        <w:tc>
          <w:tcPr>
            <w:tcW w:w="5398" w:type="dxa"/>
            <w:vMerge w:val="continue"/>
            <w:vAlign w:val="center"/>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both"/>
              <w:textAlignment w:val="auto"/>
              <w:rPr>
                <w:rFonts w:hint="eastAsia" w:ascii="仿宋_GB2312" w:hAnsi="仿宋_GB2312" w:eastAsia="仿宋_GB2312" w:cs="仿宋_GB2312"/>
                <w:sz w:val="28"/>
                <w:szCs w:val="28"/>
              </w:rPr>
            </w:pPr>
          </w:p>
        </w:tc>
        <w:tc>
          <w:tcPr>
            <w:tcW w:w="1971" w:type="dxa"/>
            <w:vMerge w:val="continue"/>
            <w:vAlign w:val="center"/>
          </w:tcPr>
          <w:p>
            <w:pPr>
              <w:keepNext w:val="0"/>
              <w:keepLines w:val="0"/>
              <w:pageBreakBefore w:val="0"/>
              <w:numPr>
                <w:ilvl w:val="-1"/>
                <w:numId w:val="0"/>
              </w:numPr>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both"/>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2" w:type="dxa"/>
            <w:gridSpan w:val="8"/>
          </w:tcPr>
          <w:p>
            <w:pPr>
              <w:keepNext w:val="0"/>
              <w:keepLines w:val="0"/>
              <w:pageBreakBefore w:val="0"/>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both"/>
              <w:textAlignment w:val="auto"/>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lang w:val="en-US" w:eastAsia="zh-CN"/>
              </w:rPr>
              <w:t>注意：</w:t>
            </w:r>
          </w:p>
          <w:p>
            <w:pPr>
              <w:keepNext w:val="0"/>
              <w:keepLines w:val="0"/>
              <w:pageBreakBefore w:val="0"/>
              <w:numPr>
                <w:ilvl w:val="-1"/>
                <w:numId w:val="0"/>
              </w:numPr>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both"/>
              <w:textAlignment w:val="auto"/>
              <w:rPr>
                <w:rFonts w:hint="eastAsia" w:ascii="仿宋_GB2312" w:hAnsi="仿宋_GB2312" w:eastAsia="仿宋_GB2312" w:cs="仿宋_GB2312"/>
                <w:color w:val="auto"/>
                <w:kern w:val="2"/>
                <w:sz w:val="28"/>
                <w:szCs w:val="28"/>
                <w:lang w:eastAsia="zh-CN"/>
              </w:rPr>
            </w:pPr>
            <w:r>
              <w:rPr>
                <w:rFonts w:hint="eastAsia" w:ascii="仿宋_GB2312" w:hAnsi="仿宋_GB2312" w:eastAsia="仿宋_GB2312" w:cs="仿宋_GB2312"/>
                <w:color w:val="auto"/>
                <w:kern w:val="2"/>
                <w:sz w:val="28"/>
                <w:szCs w:val="28"/>
                <w:lang w:val="en-US" w:eastAsia="zh-CN"/>
              </w:rPr>
              <w:t>1.以上险种保险期限为：</w:t>
            </w:r>
            <w:r>
              <w:rPr>
                <w:rFonts w:hint="eastAsia" w:ascii="仿宋_GB2312" w:hAnsi="仿宋_GB2312" w:eastAsia="仿宋_GB2312" w:cs="仿宋_GB2312"/>
                <w:color w:val="auto"/>
                <w:kern w:val="2"/>
                <w:sz w:val="28"/>
                <w:szCs w:val="28"/>
                <w:lang w:eastAsia="zh-CN"/>
              </w:rPr>
              <w:t>自2024年7月1日零时起至202</w:t>
            </w:r>
            <w:r>
              <w:rPr>
                <w:rFonts w:hint="eastAsia" w:ascii="仿宋_GB2312" w:hAnsi="仿宋_GB2312" w:eastAsia="仿宋_GB2312" w:cs="仿宋_GB2312"/>
                <w:color w:val="auto"/>
                <w:kern w:val="2"/>
                <w:sz w:val="28"/>
                <w:szCs w:val="28"/>
                <w:lang w:val="en-US" w:eastAsia="zh-CN"/>
              </w:rPr>
              <w:t>8</w:t>
            </w:r>
            <w:r>
              <w:rPr>
                <w:rFonts w:hint="eastAsia" w:ascii="仿宋_GB2312" w:hAnsi="仿宋_GB2312" w:eastAsia="仿宋_GB2312" w:cs="仿宋_GB2312"/>
                <w:color w:val="auto"/>
                <w:kern w:val="2"/>
                <w:sz w:val="28"/>
                <w:szCs w:val="28"/>
                <w:lang w:eastAsia="zh-CN"/>
              </w:rPr>
              <w:t>年6月30日二十四时止，为期四年。</w:t>
            </w:r>
          </w:p>
          <w:p>
            <w:pPr>
              <w:keepNext w:val="0"/>
              <w:keepLines w:val="0"/>
              <w:pageBreakBefore w:val="0"/>
              <w:numPr>
                <w:ilvl w:val="-1"/>
                <w:numId w:val="0"/>
              </w:numPr>
              <w:tabs>
                <w:tab w:val="left" w:pos="2880"/>
                <w:tab w:val="left" w:pos="3240"/>
                <w:tab w:val="left" w:pos="3600"/>
                <w:tab w:val="left" w:pos="3960"/>
                <w:tab w:val="left" w:pos="7200"/>
              </w:tabs>
              <w:kinsoku/>
              <w:wordWrap/>
              <w:overflowPunct/>
              <w:topLinePunct w:val="0"/>
              <w:autoSpaceDE/>
              <w:autoSpaceDN/>
              <w:bidi w:val="0"/>
              <w:snapToGrid w:val="0"/>
              <w:spacing w:line="240" w:lineRule="auto"/>
              <w:ind w:right="-25"/>
              <w:jc w:val="left"/>
              <w:textAlignment w:val="auto"/>
              <w:rPr>
                <w:rFonts w:hint="default"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rPr>
              <w:t>2.年金保险、车辆保险没有具体响应要求。</w:t>
            </w:r>
          </w:p>
        </w:tc>
      </w:tr>
    </w:tbl>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微软简标宋" w:eastAsia="方正小标宋简体" w:cs="Times New Roman"/>
          <w:sz w:val="44"/>
          <w:szCs w:val="44"/>
        </w:rPr>
      </w:pPr>
    </w:p>
    <w:sectPr>
      <w:footerReference r:id="rId3" w:type="default"/>
      <w:pgSz w:w="16838" w:h="11906" w:orient="landscape"/>
      <w:pgMar w:top="1587" w:right="2098" w:bottom="1474" w:left="1984"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40228F-F621-4F8A-B9F0-7A3119216C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E327C62A-D457-44B9-AAB9-40FFAAD37057}"/>
  </w:font>
  <w:font w:name="等线">
    <w:panose1 w:val="02010600030101010101"/>
    <w:charset w:val="86"/>
    <w:family w:val="auto"/>
    <w:pitch w:val="default"/>
    <w:sig w:usb0="A00002BF" w:usb1="38CF7CFA" w:usb2="00000016" w:usb3="00000000" w:csb0="0004000F" w:csb1="00000000"/>
    <w:embedRegular r:id="rId3" w:fontKey="{055FC2A5-A487-4481-9CBC-E25597EE99E4}"/>
  </w:font>
  <w:font w:name="方正小标宋简体">
    <w:panose1 w:val="02010601030101010101"/>
    <w:charset w:val="86"/>
    <w:family w:val="script"/>
    <w:pitch w:val="default"/>
    <w:sig w:usb0="00000001" w:usb1="080E0000" w:usb2="00000000" w:usb3="00000000" w:csb0="00040000" w:csb1="00000000"/>
    <w:embedRegular r:id="rId4" w:fontKey="{D3B6E19A-D74B-4837-ABB5-936365C9E457}"/>
  </w:font>
  <w:font w:name="微软简标宋">
    <w:altName w:val="宋体"/>
    <w:panose1 w:val="00000000000000000000"/>
    <w:charset w:val="86"/>
    <w:family w:val="auto"/>
    <w:pitch w:val="default"/>
    <w:sig w:usb0="00000000" w:usb1="00000000" w:usb2="00000010" w:usb3="00000000" w:csb0="00040000" w:csb1="00000000"/>
    <w:embedRegular r:id="rId5" w:fontKey="{D73D8DBD-7689-4BCA-9D72-A258FEB581DC}"/>
  </w:font>
  <w:font w:name="仿宋_GB2312">
    <w:panose1 w:val="02010609030101010101"/>
    <w:charset w:val="86"/>
    <w:family w:val="modern"/>
    <w:pitch w:val="default"/>
    <w:sig w:usb0="00000001" w:usb1="080E0000" w:usb2="00000000" w:usb3="00000000" w:csb0="00040000" w:csb1="00000000"/>
    <w:embedRegular r:id="rId6" w:fontKey="{82192E79-DBA3-456E-8406-442874279361}"/>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trackRevisions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mNGEwNzg0MDM2MDlmNzg3ODQ4OTMxZDIxZmExMmIifQ=="/>
  </w:docVars>
  <w:rsids>
    <w:rsidRoot w:val="00172A27"/>
    <w:rsid w:val="01626374"/>
    <w:rsid w:val="028D72D1"/>
    <w:rsid w:val="06217868"/>
    <w:rsid w:val="0653441B"/>
    <w:rsid w:val="087A45E6"/>
    <w:rsid w:val="097A7FD3"/>
    <w:rsid w:val="09A500F3"/>
    <w:rsid w:val="0BAA5811"/>
    <w:rsid w:val="101E5B5C"/>
    <w:rsid w:val="114C6D7B"/>
    <w:rsid w:val="1468657D"/>
    <w:rsid w:val="147E306D"/>
    <w:rsid w:val="1D6923E1"/>
    <w:rsid w:val="1DC40918"/>
    <w:rsid w:val="1FAE5E1E"/>
    <w:rsid w:val="20875058"/>
    <w:rsid w:val="25052271"/>
    <w:rsid w:val="262834FB"/>
    <w:rsid w:val="273D7281"/>
    <w:rsid w:val="32625925"/>
    <w:rsid w:val="38486A0A"/>
    <w:rsid w:val="407B3CA4"/>
    <w:rsid w:val="414B0CA0"/>
    <w:rsid w:val="416F0776"/>
    <w:rsid w:val="44475B04"/>
    <w:rsid w:val="45CF0EB3"/>
    <w:rsid w:val="4B842010"/>
    <w:rsid w:val="4F137D88"/>
    <w:rsid w:val="552C3EE4"/>
    <w:rsid w:val="55D07EAB"/>
    <w:rsid w:val="57D36D8C"/>
    <w:rsid w:val="5C433822"/>
    <w:rsid w:val="6C251A62"/>
    <w:rsid w:val="70BA4C7C"/>
    <w:rsid w:val="73E55492"/>
    <w:rsid w:val="752D1021"/>
    <w:rsid w:val="77204635"/>
    <w:rsid w:val="78F64CA3"/>
    <w:rsid w:val="7E64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3840</Words>
  <Characters>4087</Characters>
  <Lines>0</Lines>
  <Paragraphs>0</Paragraphs>
  <TotalTime>27</TotalTime>
  <ScaleCrop>false</ScaleCrop>
  <LinksUpToDate>false</LinksUpToDate>
  <CharactersWithSpaces>4157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2023-09-05T01:40:00Z</dcterms:created>
  <dc:creator>罗敏妍</dc:creator>
  <cp:lastModifiedBy>肥了个波</cp:lastModifiedBy>
  <cp:lastPrinted>2023-09-19T00:39:00Z</cp:lastPrinted>
  <dcterms:modified xsi:type="dcterms:W3CDTF">2023-09-20T13:59:47Z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980C0F996BFA4BF591C21B3293545938_11</vt:lpwstr>
  </property>
</Properties>
</file>