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71EB" w:rsidRPr="00874B37" w:rsidRDefault="00C671EB" w:rsidP="00C671EB">
      <w:pPr>
        <w:rPr>
          <w:rFonts w:ascii="黑体" w:eastAsia="黑体" w:hAnsi="黑体" w:hint="eastAsia"/>
          <w:sz w:val="32"/>
          <w:szCs w:val="32"/>
        </w:rPr>
      </w:pPr>
      <w:r w:rsidRPr="00A56E02">
        <w:rPr>
          <w:rFonts w:ascii="黑体" w:eastAsia="黑体" w:hAnsi="黑体" w:hint="eastAsia"/>
          <w:sz w:val="32"/>
          <w:szCs w:val="32"/>
        </w:rPr>
        <w:t>附件</w:t>
      </w:r>
      <w:r>
        <w:rPr>
          <w:rFonts w:ascii="黑体" w:eastAsia="黑体" w:hAnsi="黑体" w:hint="eastAsia"/>
          <w:sz w:val="32"/>
          <w:szCs w:val="32"/>
        </w:rPr>
        <w:t>1</w:t>
      </w:r>
    </w:p>
    <w:p w:rsidR="00C671EB" w:rsidRPr="00874B37" w:rsidRDefault="00C671EB" w:rsidP="00C671EB">
      <w:pPr>
        <w:jc w:val="center"/>
        <w:rPr>
          <w:rFonts w:ascii="微软简标宋" w:eastAsia="微软简标宋" w:hint="eastAsia"/>
          <w:sz w:val="36"/>
          <w:szCs w:val="36"/>
        </w:rPr>
      </w:pPr>
      <w:r>
        <w:rPr>
          <w:rFonts w:ascii="微软简标宋" w:eastAsia="微软简标宋" w:hAnsi="Cambria" w:cs="Cambria" w:hint="eastAsia"/>
          <w:sz w:val="36"/>
          <w:szCs w:val="36"/>
        </w:rPr>
        <w:t>论</w:t>
      </w:r>
      <w:r w:rsidRPr="00014FDA">
        <w:rPr>
          <w:rFonts w:ascii="微软简标宋" w:eastAsia="微软简标宋" w:hint="eastAsia"/>
          <w:sz w:val="36"/>
          <w:szCs w:val="36"/>
        </w:rPr>
        <w:t>文参考题目</w:t>
      </w:r>
    </w:p>
    <w:p w:rsidR="00C671EB" w:rsidRPr="00874B37" w:rsidRDefault="00C671EB" w:rsidP="00C671EB">
      <w:pPr>
        <w:spacing w:beforeLines="50" w:before="156" w:line="580" w:lineRule="exact"/>
        <w:ind w:firstLineChars="200" w:firstLine="640"/>
        <w:rPr>
          <w:rFonts w:ascii="黑体" w:eastAsia="黑体" w:hAnsi="黑体"/>
          <w:sz w:val="32"/>
          <w:szCs w:val="32"/>
        </w:rPr>
      </w:pPr>
      <w:r w:rsidRPr="00874B37">
        <w:rPr>
          <w:rFonts w:ascii="黑体" w:eastAsia="黑体" w:hAnsi="黑体" w:hint="eastAsia"/>
          <w:sz w:val="32"/>
          <w:szCs w:val="32"/>
        </w:rPr>
        <w:t>一、“一带一路”和自贸区建设与律师服务</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1.“一带一路”战略、自贸区建设</w:t>
      </w:r>
      <w:r w:rsidRPr="00874B37">
        <w:rPr>
          <w:rFonts w:ascii="仿宋_GB2312" w:eastAsia="仿宋_GB2312" w:hAnsi="等线"/>
          <w:sz w:val="32"/>
          <w:szCs w:val="32"/>
        </w:rPr>
        <w:t>相关政策以及</w:t>
      </w:r>
      <w:r w:rsidRPr="00874B37">
        <w:rPr>
          <w:rFonts w:ascii="仿宋_GB2312" w:eastAsia="仿宋_GB2312" w:hAnsi="等线" w:hint="eastAsia"/>
          <w:sz w:val="32"/>
          <w:szCs w:val="32"/>
        </w:rPr>
        <w:t>相关法律服务政策的解读；</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2.“一带一路”、“自贸区”政策对法律服务的新机遇；</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3.适应构建对外开放经济新体制要求，律师如何服务我国外交工作大局和国家重大发展战略；</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4.</w:t>
      </w:r>
      <w:r w:rsidRPr="00933ED4">
        <w:rPr>
          <w:rFonts w:ascii="仿宋_GB2312" w:eastAsia="仿宋_GB2312" w:hAnsi="等线" w:hint="eastAsia"/>
          <w:spacing w:val="-6"/>
          <w:sz w:val="32"/>
          <w:szCs w:val="32"/>
        </w:rPr>
        <w:t>律师在“一带一路”、“自贸区发展”建设中的作用发挥；</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5.涉外法律服务内容与服务标准；</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6.涉外律师人才培训机制建设；</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7.如何搭建“一带一路”国际律师合作平台；</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8. “一带一路</w:t>
      </w:r>
      <w:r w:rsidRPr="00874B37">
        <w:rPr>
          <w:rFonts w:ascii="仿宋_GB2312" w:eastAsia="仿宋_GB2312" w:hAnsi="等线"/>
          <w:sz w:val="32"/>
          <w:szCs w:val="32"/>
        </w:rPr>
        <w:t>”</w:t>
      </w:r>
      <w:r w:rsidRPr="00874B37">
        <w:rPr>
          <w:rFonts w:ascii="仿宋_GB2312" w:eastAsia="仿宋_GB2312" w:hAnsi="等线" w:hint="eastAsia"/>
          <w:sz w:val="32"/>
          <w:szCs w:val="32"/>
        </w:rPr>
        <w:t>、自贸区建设律师业务开拓思路和服务产品介绍；</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9.如何打造律师事务所国际化品牌</w:t>
      </w:r>
      <w:r w:rsidRPr="00874B37">
        <w:rPr>
          <w:rFonts w:ascii="仿宋_GB2312" w:eastAsia="仿宋_GB2312" w:hAnsi="等线"/>
          <w:sz w:val="32"/>
          <w:szCs w:val="32"/>
        </w:rPr>
        <w:t>，</w:t>
      </w:r>
      <w:r w:rsidRPr="00874B37">
        <w:rPr>
          <w:rFonts w:ascii="仿宋_GB2312" w:eastAsia="仿宋_GB2312" w:hAnsi="等线" w:hint="eastAsia"/>
          <w:sz w:val="32"/>
          <w:szCs w:val="32"/>
        </w:rPr>
        <w:t>提高我国</w:t>
      </w:r>
      <w:r w:rsidRPr="00874B37">
        <w:rPr>
          <w:rFonts w:ascii="仿宋_GB2312" w:eastAsia="仿宋_GB2312" w:hAnsi="等线"/>
          <w:sz w:val="32"/>
          <w:szCs w:val="32"/>
        </w:rPr>
        <w:t>律师业国际竞争力</w:t>
      </w:r>
      <w:r w:rsidRPr="00874B37">
        <w:rPr>
          <w:rFonts w:ascii="仿宋_GB2312" w:eastAsia="仿宋_GB2312" w:hAnsi="等线" w:hint="eastAsia"/>
          <w:sz w:val="32"/>
          <w:szCs w:val="32"/>
        </w:rPr>
        <w:t>；</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10.党委政府对提高律师涉外法律水平的政策支持；</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11.律师涉外法律业务发展的困境与机遇；</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12.一带一路、自贸区建设战略背景下，律师事务所设立模式的创新。</w:t>
      </w:r>
    </w:p>
    <w:p w:rsidR="00C671EB" w:rsidRPr="00874B37" w:rsidRDefault="00C671EB" w:rsidP="00C671EB">
      <w:pPr>
        <w:spacing w:line="580" w:lineRule="exact"/>
        <w:ind w:firstLineChars="200" w:firstLine="640"/>
        <w:rPr>
          <w:rFonts w:ascii="黑体" w:eastAsia="黑体" w:hAnsi="黑体"/>
          <w:sz w:val="32"/>
          <w:szCs w:val="32"/>
        </w:rPr>
      </w:pPr>
      <w:r w:rsidRPr="00874B37">
        <w:rPr>
          <w:rFonts w:ascii="黑体" w:eastAsia="黑体" w:hAnsi="黑体" w:hint="eastAsia"/>
          <w:sz w:val="32"/>
          <w:szCs w:val="32"/>
        </w:rPr>
        <w:t>二、互联网+法律服务</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1.互联网思维与法治建设；</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2.互联网时代与律师服务转型升级；</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lastRenderedPageBreak/>
        <w:t>3.互联网+对律师服务产品创新的启发；</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4.互联网法律服务市场现状与发展；</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5.律师服务对互联网工具的需求；</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6.互联网法律服务与律师传统服务；</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7.司法行政部门和律师协会应为律师行业提供的互联网平台和应用工具；</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8.互联网法律服务的利弊分析；</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9.律师</w:t>
      </w:r>
      <w:proofErr w:type="gramStart"/>
      <w:r w:rsidRPr="00874B37">
        <w:rPr>
          <w:rFonts w:ascii="仿宋_GB2312" w:eastAsia="仿宋_GB2312" w:hAnsi="等线" w:hint="eastAsia"/>
          <w:sz w:val="32"/>
          <w:szCs w:val="32"/>
        </w:rPr>
        <w:t>事务所微信营销</w:t>
      </w:r>
      <w:proofErr w:type="gramEnd"/>
      <w:r w:rsidRPr="00874B37">
        <w:rPr>
          <w:rFonts w:ascii="仿宋_GB2312" w:eastAsia="仿宋_GB2312" w:hAnsi="等线" w:hint="eastAsia"/>
          <w:sz w:val="32"/>
          <w:szCs w:val="32"/>
        </w:rPr>
        <w:t>与律师业务拓展；</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10.大数据与律师事务所管理；</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11.电子证据取证、举证、质证、保全等实务与技巧；</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12.网络侵权案件诉讼实务；</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13.互联网金融与法律实务；</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14.大数据与公司治理；</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15．互联网时代下的个人信息保护。</w:t>
      </w:r>
    </w:p>
    <w:p w:rsidR="00C671EB" w:rsidRPr="00874B37" w:rsidRDefault="00C671EB" w:rsidP="00C671EB">
      <w:pPr>
        <w:spacing w:line="580" w:lineRule="exact"/>
        <w:ind w:firstLineChars="200" w:firstLine="640"/>
        <w:rPr>
          <w:rFonts w:ascii="黑体" w:eastAsia="黑体" w:hAnsi="黑体"/>
          <w:sz w:val="32"/>
          <w:szCs w:val="32"/>
        </w:rPr>
      </w:pPr>
      <w:r w:rsidRPr="00874B37">
        <w:rPr>
          <w:rFonts w:ascii="黑体" w:eastAsia="黑体" w:hAnsi="黑体" w:hint="eastAsia"/>
          <w:sz w:val="32"/>
          <w:szCs w:val="32"/>
        </w:rPr>
        <w:t>三、知识产权强国建设与律师服务</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1．“一带一路”战略下的知识产权保护问题；</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2．我国知识产权商业化的现状与发展；</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3．我国专利运营的模式与发展；</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4．知识产权法院的设立对律师业务格局的影响；</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5．律师参与知识产权贯</w:t>
      </w:r>
      <w:proofErr w:type="gramStart"/>
      <w:r w:rsidRPr="00874B37">
        <w:rPr>
          <w:rFonts w:ascii="仿宋_GB2312" w:eastAsia="仿宋_GB2312" w:hAnsi="等线" w:hint="eastAsia"/>
          <w:sz w:val="32"/>
          <w:szCs w:val="32"/>
        </w:rPr>
        <w:t>标服务</w:t>
      </w:r>
      <w:proofErr w:type="gramEnd"/>
      <w:r w:rsidRPr="00874B37">
        <w:rPr>
          <w:rFonts w:ascii="仿宋_GB2312" w:eastAsia="仿宋_GB2312" w:hAnsi="等线" w:hint="eastAsia"/>
          <w:sz w:val="32"/>
          <w:szCs w:val="32"/>
        </w:rPr>
        <w:t>的优势与意义；</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6．知识产权交易中的律师业务；</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7．知识产权联盟建设与律师创新业务；</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8．我国知识产权融资业务的现状与发展；</w:t>
      </w:r>
    </w:p>
    <w:p w:rsidR="00C671EB" w:rsidRPr="00874B37"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t>9．知识产权保险制度与律师创新业务；</w:t>
      </w:r>
    </w:p>
    <w:p w:rsidR="00C671EB" w:rsidRDefault="00C671EB" w:rsidP="00C671EB">
      <w:pPr>
        <w:spacing w:line="580" w:lineRule="exact"/>
        <w:ind w:firstLineChars="200" w:firstLine="640"/>
        <w:rPr>
          <w:rFonts w:ascii="仿宋_GB2312" w:eastAsia="仿宋_GB2312" w:hAnsi="等线"/>
          <w:sz w:val="32"/>
          <w:szCs w:val="32"/>
        </w:rPr>
      </w:pPr>
      <w:r w:rsidRPr="00874B37">
        <w:rPr>
          <w:rFonts w:ascii="仿宋_GB2312" w:eastAsia="仿宋_GB2312" w:hAnsi="等线" w:hint="eastAsia"/>
          <w:sz w:val="32"/>
          <w:szCs w:val="32"/>
        </w:rPr>
        <w:lastRenderedPageBreak/>
        <w:t>10．非物质文化遗产的传承、创新与知识产权保护。</w:t>
      </w:r>
    </w:p>
    <w:p w:rsidR="00140A6A" w:rsidRPr="00C671EB" w:rsidRDefault="00140A6A">
      <w:bookmarkStart w:id="0" w:name="_GoBack"/>
      <w:bookmarkEnd w:id="0"/>
    </w:p>
    <w:sectPr w:rsidR="00140A6A" w:rsidRPr="00C671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简标宋">
    <w:panose1 w:val="00000000000000000000"/>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1EB"/>
    <w:rsid w:val="00140A6A"/>
    <w:rsid w:val="00C67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85A0EF-37F9-48D7-A557-83DF1944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1E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129</Words>
  <Characters>740</Characters>
  <Application>Microsoft Office Word</Application>
  <DocSecurity>0</DocSecurity>
  <Lines>6</Lines>
  <Paragraphs>1</Paragraphs>
  <ScaleCrop>false</ScaleCrop>
  <Company/>
  <LinksUpToDate>false</LinksUpToDate>
  <CharactersWithSpaces>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LXY</dc:creator>
  <cp:keywords/>
  <dc:description/>
  <cp:lastModifiedBy>LXY</cp:lastModifiedBy>
  <cp:revision>1</cp:revision>
  <dcterms:created xsi:type="dcterms:W3CDTF">2016-08-12T08:48:00Z</dcterms:created>
  <dcterms:modified xsi:type="dcterms:W3CDTF">2016-08-12T08:48:00Z</dcterms:modified>
</cp:coreProperties>
</file>